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82797C" w14:textId="77E53CEC" w:rsidR="004759AD" w:rsidRPr="00E624D8" w:rsidRDefault="00BC532D" w:rsidP="004759AD">
      <w:pPr>
        <w:tabs>
          <w:tab w:val="right" w:pos="9630"/>
        </w:tabs>
        <w:spacing w:after="0"/>
      </w:pPr>
      <w:r w:rsidRPr="00E624D8">
        <w:rPr>
          <w:rFonts w:ascii="Arial" w:hAnsi="Arial" w:cs="Arial"/>
          <w:b/>
          <w:sz w:val="24"/>
        </w:rPr>
        <w:t>3GPP TSG RAN WG1 #8</w:t>
      </w:r>
      <w:r w:rsidR="0002187D">
        <w:rPr>
          <w:rFonts w:ascii="Arial" w:hAnsi="Arial" w:cs="Arial"/>
          <w:b/>
          <w:sz w:val="24"/>
        </w:rPr>
        <w:t>6</w:t>
      </w:r>
      <w:bookmarkStart w:id="0" w:name="_GoBack"/>
      <w:bookmarkEnd w:id="0"/>
      <w:r w:rsidR="004759AD" w:rsidRPr="00E624D8">
        <w:rPr>
          <w:rFonts w:ascii="Arial" w:hAnsi="Arial" w:cs="Arial"/>
          <w:b/>
          <w:sz w:val="24"/>
        </w:rPr>
        <w:tab/>
      </w:r>
      <w:r w:rsidR="00B75A1E" w:rsidRPr="00B75A1E">
        <w:rPr>
          <w:rFonts w:ascii="Arial" w:hAnsi="Arial" w:cs="Arial"/>
          <w:b/>
          <w:sz w:val="24"/>
        </w:rPr>
        <w:t>R1-166390</w:t>
      </w:r>
    </w:p>
    <w:p w14:paraId="7B82797D" w14:textId="4EE0BD7D" w:rsidR="004759AD" w:rsidRPr="00E624D8" w:rsidRDefault="00164703" w:rsidP="004759AD">
      <w:pPr>
        <w:tabs>
          <w:tab w:val="right" w:pos="9630"/>
        </w:tabs>
        <w:spacing w:after="0"/>
        <w:rPr>
          <w:rFonts w:ascii="Arial" w:hAnsi="Arial" w:cs="Arial"/>
          <w:b/>
          <w:sz w:val="24"/>
          <w:szCs w:val="24"/>
        </w:rPr>
      </w:pPr>
      <w:r>
        <w:rPr>
          <w:rFonts w:ascii="Arial" w:hAnsi="Arial" w:cs="Arial"/>
          <w:b/>
          <w:sz w:val="24"/>
          <w:szCs w:val="24"/>
        </w:rPr>
        <w:t>August</w:t>
      </w:r>
      <w:r w:rsidR="00E0731E">
        <w:rPr>
          <w:rFonts w:ascii="Arial" w:hAnsi="Arial" w:cs="Arial"/>
          <w:b/>
          <w:sz w:val="24"/>
          <w:szCs w:val="24"/>
        </w:rPr>
        <w:t xml:space="preserve"> 2</w:t>
      </w:r>
      <w:r>
        <w:rPr>
          <w:rFonts w:ascii="Arial" w:hAnsi="Arial" w:cs="Arial"/>
          <w:b/>
          <w:sz w:val="24"/>
          <w:szCs w:val="24"/>
        </w:rPr>
        <w:t>2</w:t>
      </w:r>
      <w:r>
        <w:rPr>
          <w:rFonts w:ascii="Arial" w:hAnsi="Arial" w:cs="Arial"/>
          <w:b/>
          <w:sz w:val="24"/>
          <w:szCs w:val="24"/>
          <w:vertAlign w:val="superscript"/>
        </w:rPr>
        <w:t>nd</w:t>
      </w:r>
      <w:r w:rsidR="00E0731E">
        <w:rPr>
          <w:rFonts w:ascii="Arial" w:hAnsi="Arial" w:cs="Arial"/>
          <w:b/>
          <w:sz w:val="24"/>
          <w:szCs w:val="24"/>
        </w:rPr>
        <w:t xml:space="preserve"> – 2</w:t>
      </w:r>
      <w:r>
        <w:rPr>
          <w:rFonts w:ascii="Arial" w:hAnsi="Arial" w:cs="Arial"/>
          <w:b/>
          <w:sz w:val="24"/>
          <w:szCs w:val="24"/>
        </w:rPr>
        <w:t>6</w:t>
      </w:r>
      <w:r w:rsidR="00E0731E" w:rsidRPr="00E0731E">
        <w:rPr>
          <w:rFonts w:ascii="Arial" w:hAnsi="Arial" w:cs="Arial"/>
          <w:b/>
          <w:sz w:val="24"/>
          <w:szCs w:val="24"/>
          <w:vertAlign w:val="superscript"/>
        </w:rPr>
        <w:t>th</w:t>
      </w:r>
      <w:r w:rsidR="007A19F4">
        <w:rPr>
          <w:rFonts w:ascii="Arial" w:hAnsi="Arial" w:cs="Arial"/>
          <w:b/>
          <w:sz w:val="24"/>
          <w:szCs w:val="24"/>
        </w:rPr>
        <w:t xml:space="preserve">, 2016 </w:t>
      </w:r>
    </w:p>
    <w:p w14:paraId="7B82797E" w14:textId="0DCF58B9" w:rsidR="004759AD" w:rsidRPr="00E624D8" w:rsidRDefault="00205991" w:rsidP="004759AD">
      <w:pPr>
        <w:rPr>
          <w:rFonts w:ascii="Arial" w:hAnsi="Arial" w:cs="Arial"/>
          <w:b/>
          <w:sz w:val="24"/>
          <w:szCs w:val="24"/>
        </w:rPr>
      </w:pPr>
      <w:r>
        <w:rPr>
          <w:rFonts w:ascii="Arial" w:hAnsi="Arial" w:cs="Arial"/>
          <w:b/>
          <w:sz w:val="24"/>
          <w:szCs w:val="24"/>
        </w:rPr>
        <w:t>Gothenburg</w:t>
      </w:r>
      <w:r w:rsidR="00164703">
        <w:rPr>
          <w:rFonts w:ascii="Arial" w:hAnsi="Arial" w:cs="Arial"/>
          <w:b/>
          <w:sz w:val="24"/>
          <w:szCs w:val="24"/>
        </w:rPr>
        <w:t>, Sweden</w:t>
      </w:r>
    </w:p>
    <w:p w14:paraId="7B82797F"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7B827980" w14:textId="310E04BC" w:rsidR="00E725B6" w:rsidRPr="00E624D8" w:rsidRDefault="00E725B6" w:rsidP="00E725B6">
      <w:pPr>
        <w:tabs>
          <w:tab w:val="left" w:pos="1985"/>
        </w:tabs>
        <w:rPr>
          <w:rFonts w:ascii="Arial" w:hAnsi="Arial"/>
          <w:sz w:val="24"/>
        </w:rPr>
      </w:pPr>
      <w:r w:rsidRPr="00E624D8">
        <w:rPr>
          <w:rFonts w:ascii="Arial" w:hAnsi="Arial"/>
          <w:b/>
          <w:sz w:val="24"/>
        </w:rPr>
        <w:t>Agenda item:</w:t>
      </w:r>
      <w:bookmarkStart w:id="1" w:name="Source"/>
      <w:bookmarkEnd w:id="1"/>
      <w:r w:rsidR="006C7D80" w:rsidRPr="00E624D8">
        <w:rPr>
          <w:rFonts w:ascii="Arial" w:hAnsi="Arial"/>
          <w:sz w:val="24"/>
        </w:rPr>
        <w:tab/>
      </w:r>
      <w:r w:rsidR="004342AB">
        <w:rPr>
          <w:rFonts w:ascii="Arial" w:hAnsi="Arial"/>
          <w:sz w:val="24"/>
        </w:rPr>
        <w:t>8</w:t>
      </w:r>
      <w:r w:rsidR="00164703">
        <w:rPr>
          <w:rFonts w:ascii="Arial" w:hAnsi="Arial"/>
          <w:sz w:val="24"/>
        </w:rPr>
        <w:t>.</w:t>
      </w:r>
      <w:r w:rsidR="004342AB">
        <w:rPr>
          <w:rFonts w:ascii="Arial" w:hAnsi="Arial"/>
          <w:sz w:val="24"/>
        </w:rPr>
        <w:t>1</w:t>
      </w:r>
      <w:r w:rsidR="00164703">
        <w:rPr>
          <w:rFonts w:ascii="Arial" w:hAnsi="Arial"/>
          <w:sz w:val="24"/>
        </w:rPr>
        <w:t>.</w:t>
      </w:r>
      <w:r w:rsidR="004342AB">
        <w:rPr>
          <w:rFonts w:ascii="Arial" w:hAnsi="Arial"/>
          <w:sz w:val="24"/>
        </w:rPr>
        <w:t>7</w:t>
      </w:r>
    </w:p>
    <w:p w14:paraId="7B827981"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7B827982" w14:textId="0C114636" w:rsidR="0068226B" w:rsidRPr="00D60018" w:rsidRDefault="0068226B" w:rsidP="00382B96">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855C49" w:rsidRPr="00855C49">
        <w:rPr>
          <w:rFonts w:ascii="Arial" w:hAnsi="Arial"/>
          <w:sz w:val="24"/>
        </w:rPr>
        <w:t>Updated Sub6 DL Full-buffer KPI evaluation for eMBB</w:t>
      </w:r>
    </w:p>
    <w:p w14:paraId="7B827983"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7B827984" w14:textId="77777777" w:rsidR="00491EEE" w:rsidRPr="00CC27F5" w:rsidRDefault="00FD6A3D" w:rsidP="00491EEE">
      <w:pPr>
        <w:pStyle w:val="Heading1"/>
      </w:pPr>
      <w:r w:rsidRPr="00CC27F5">
        <w:t>1</w:t>
      </w:r>
      <w:r w:rsidRPr="00CC27F5">
        <w:tab/>
      </w:r>
      <w:r w:rsidR="00B209B5" w:rsidRPr="00CC27F5">
        <w:t>Introduction</w:t>
      </w:r>
    </w:p>
    <w:p w14:paraId="12CA8261" w14:textId="4C989188" w:rsidR="00164703" w:rsidRDefault="006E10F6" w:rsidP="00A6390B">
      <w:pPr>
        <w:jc w:val="both"/>
      </w:pPr>
      <w:r>
        <w:t xml:space="preserve">In </w:t>
      </w:r>
      <w:r w:rsidR="00E0731E">
        <w:t>RAN1 #84b,</w:t>
      </w:r>
      <w:r>
        <w:t xml:space="preserve"> </w:t>
      </w:r>
      <w:r w:rsidR="00A6390B">
        <w:t xml:space="preserve">the evaluation assumptions for NR test was agreed in [1] including following test scenarios: indoor hotspot, dense urban, rural macro, urban macro and high speed. </w:t>
      </w:r>
      <w:r w:rsidR="00164703">
        <w:t>In RAN1 #85 ([2]), we had provided the initial DL simulation results for the dense urban and rural macro scenarios, assuming V-pol antennas at the eNB.</w:t>
      </w:r>
    </w:p>
    <w:p w14:paraId="7B827985" w14:textId="099EB0FA" w:rsidR="00FA7EDF" w:rsidRPr="00FA7EDF" w:rsidRDefault="00A6390B" w:rsidP="00A6390B">
      <w:pPr>
        <w:jc w:val="both"/>
        <w:rPr>
          <w:rFonts w:eastAsia="Malgun Gothic"/>
          <w:bCs/>
          <w:i/>
          <w:szCs w:val="22"/>
          <w:lang w:eastAsia="ko-KR"/>
        </w:rPr>
      </w:pPr>
      <w:r>
        <w:t xml:space="preserve">In this contribution, we </w:t>
      </w:r>
      <w:r w:rsidR="00164703">
        <w:t xml:space="preserve">update the </w:t>
      </w:r>
      <w:r>
        <w:t xml:space="preserve">DL simulation results </w:t>
      </w:r>
      <w:r w:rsidR="00164703">
        <w:t xml:space="preserve">with more realistic X-pol antennas at the eNB. MU-MIMO enables us to meet IMT-A requirements for the cell-edge and mean cell </w:t>
      </w:r>
      <w:r w:rsidR="003A3F02">
        <w:t>spectral efficiency</w:t>
      </w:r>
      <w:r w:rsidR="00164703">
        <w:t>.</w:t>
      </w:r>
    </w:p>
    <w:p w14:paraId="7B827986" w14:textId="77777777" w:rsidR="00491EEE" w:rsidRDefault="00491EEE" w:rsidP="00F30894">
      <w:pPr>
        <w:pStyle w:val="Heading1"/>
        <w:jc w:val="both"/>
      </w:pPr>
      <w:r w:rsidRPr="00CC27F5">
        <w:t>2</w:t>
      </w:r>
      <w:r w:rsidRPr="00CC27F5">
        <w:tab/>
      </w:r>
      <w:r w:rsidR="00F95A7C">
        <w:t>Simulation Assumptions</w:t>
      </w:r>
    </w:p>
    <w:p w14:paraId="7B827987" w14:textId="77777777" w:rsidR="00E561C0" w:rsidRDefault="00DB378F" w:rsidP="000772F9">
      <w:pPr>
        <w:rPr>
          <w:lang w:val="en-GB"/>
        </w:rPr>
      </w:pPr>
      <w:r>
        <w:rPr>
          <w:lang w:val="en-GB"/>
        </w:rPr>
        <w:t>In this contribution, we focus on a single layer NR network with sub-6GHz carrier frequency.  Following s</w:t>
      </w:r>
      <w:r w:rsidR="001733C6">
        <w:rPr>
          <w:lang w:val="en-GB"/>
        </w:rPr>
        <w:t>imulation assumptions have been used</w:t>
      </w:r>
      <w:r>
        <w:rPr>
          <w:lang w:val="en-GB"/>
        </w:rPr>
        <w:t xml:space="preserve"> based on [1] with modified parameters marked in bold. </w:t>
      </w:r>
    </w:p>
    <w:p w14:paraId="7B827988" w14:textId="77777777" w:rsidR="00620808" w:rsidRDefault="00620808" w:rsidP="006B2467">
      <w:pPr>
        <w:pStyle w:val="Caption"/>
        <w:keepNext/>
        <w:jc w:val="center"/>
      </w:pPr>
      <w:bookmarkStart w:id="3" w:name="_Ref450900922"/>
      <w:r>
        <w:lastRenderedPageBreak/>
        <w:t xml:space="preserve">Table </w:t>
      </w:r>
      <w:fldSimple w:instr=" SEQ Table \* ARABIC ">
        <w:r w:rsidR="00456CFF">
          <w:rPr>
            <w:noProof/>
          </w:rPr>
          <w:t>1</w:t>
        </w:r>
      </w:fldSimple>
      <w:bookmarkEnd w:id="3"/>
      <w:r>
        <w:t>: System Simulation Assumptions</w:t>
      </w:r>
    </w:p>
    <w:bookmarkStart w:id="4" w:name="_MON_1524476302"/>
    <w:bookmarkEnd w:id="4"/>
    <w:p w14:paraId="7B827989" w14:textId="7863B19A" w:rsidR="001733C6" w:rsidRDefault="00924269" w:rsidP="008C7515">
      <w:pPr>
        <w:jc w:val="center"/>
        <w:rPr>
          <w:lang w:val="en-GB"/>
        </w:rPr>
      </w:pPr>
      <w:r>
        <w:rPr>
          <w:lang w:val="en-GB"/>
        </w:rPr>
        <w:object w:dxaOrig="13690" w:dyaOrig="15180" w14:anchorId="7B8279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4pt;height:393.2pt" o:ole="">
            <v:imagedata r:id="rId13" o:title=""/>
          </v:shape>
          <o:OLEObject Type="Embed" ProgID="Excel.Sheet.12" ShapeID="_x0000_i1025" DrawAspect="Content" ObjectID="_1532369689" r:id="rId14"/>
        </w:object>
      </w:r>
    </w:p>
    <w:p w14:paraId="7B82798A" w14:textId="6BAFC80C" w:rsidR="00E561C0" w:rsidRDefault="00F95A7C" w:rsidP="000772F9">
      <w:pPr>
        <w:rPr>
          <w:lang w:val="en-GB"/>
        </w:rPr>
      </w:pPr>
      <w:r>
        <w:rPr>
          <w:lang w:val="en-GB"/>
        </w:rPr>
        <w:t xml:space="preserve">In the simulations, </w:t>
      </w:r>
      <w:r w:rsidR="00FB1E18">
        <w:rPr>
          <w:lang w:val="en-GB"/>
        </w:rPr>
        <w:t xml:space="preserve">the </w:t>
      </w:r>
      <w:r>
        <w:rPr>
          <w:lang w:val="en-GB"/>
        </w:rPr>
        <w:t>following DL centric frame structure is used</w:t>
      </w:r>
      <w:r w:rsidR="00FB1E18">
        <w:rPr>
          <w:lang w:val="en-GB"/>
        </w:rPr>
        <w:t>.</w:t>
      </w:r>
      <w:r>
        <w:rPr>
          <w:lang w:val="en-GB"/>
        </w:rPr>
        <w:t xml:space="preserve">  </w:t>
      </w:r>
      <w:r w:rsidR="00FB1E18">
        <w:rPr>
          <w:lang w:val="en-GB"/>
        </w:rPr>
        <w:t>We assume 5% Guard band, 8.6% for CP, 2 symbols for DMRS, 2 symbols in 20 MHz for PDCCH and 1 symbol on the UL for SRS and ACK tran</w:t>
      </w:r>
      <w:r w:rsidR="002B11AC">
        <w:rPr>
          <w:lang w:val="en-GB"/>
        </w:rPr>
        <w:t>smission</w:t>
      </w:r>
      <w:r w:rsidR="000B300E">
        <w:rPr>
          <w:lang w:val="en-GB"/>
        </w:rPr>
        <w:t xml:space="preserve"> and 1 symbol for Guard period</w:t>
      </w:r>
      <w:r w:rsidR="002B11AC">
        <w:rPr>
          <w:lang w:val="en-GB"/>
        </w:rPr>
        <w:t>. We effectively have 9</w:t>
      </w:r>
      <w:r w:rsidR="00FB1E18">
        <w:rPr>
          <w:lang w:val="en-GB"/>
        </w:rPr>
        <w:t xml:space="preserve">.75 symbols for PDSCH. </w:t>
      </w:r>
      <w:r w:rsidR="000C6798">
        <w:rPr>
          <w:lang w:val="en-GB"/>
        </w:rPr>
        <w:t xml:space="preserve">Within the PDSCH part of the subframe, we assume CSI-RS tones are sent spanning the allocated bandwidth to the user, taking up an additional 4% of overhead. </w:t>
      </w:r>
      <w:r w:rsidR="00FB1E18">
        <w:rPr>
          <w:lang w:val="en-GB"/>
        </w:rPr>
        <w:t xml:space="preserve">The total overhead turns out to be </w:t>
      </w:r>
      <w:r w:rsidR="0020683C">
        <w:rPr>
          <w:lang w:val="en-GB"/>
        </w:rPr>
        <w:t>42</w:t>
      </w:r>
      <w:r w:rsidR="00FB1E18">
        <w:rPr>
          <w:lang w:val="en-GB"/>
        </w:rPr>
        <w:t>%.</w:t>
      </w:r>
    </w:p>
    <w:p w14:paraId="7B82798B" w14:textId="77777777" w:rsidR="00A87027" w:rsidRDefault="00A87027" w:rsidP="000772F9">
      <w:pPr>
        <w:rPr>
          <w:lang w:val="en-GB"/>
        </w:rPr>
      </w:pPr>
      <w:r>
        <w:rPr>
          <w:lang w:val="en-GB"/>
        </w:rPr>
        <w:t>For Rural scenario, we increased the number of SRS symbols to 2, thereby increasing the overhead, but improving UL channel estimation performance.</w:t>
      </w:r>
    </w:p>
    <w:p w14:paraId="7B82798C" w14:textId="048B9ADC" w:rsidR="00AC5F81" w:rsidRDefault="002B11AC" w:rsidP="006B2467">
      <w:pPr>
        <w:keepNext/>
        <w:jc w:val="center"/>
      </w:pPr>
      <w:r>
        <w:object w:dxaOrig="13619" w:dyaOrig="12891" w14:anchorId="31B950B6">
          <v:shape id="_x0000_i1026" type="#_x0000_t75" style="width:395.05pt;height:373.1pt" o:ole="">
            <v:imagedata r:id="rId15" o:title=""/>
          </v:shape>
          <o:OLEObject Type="Embed" ProgID="Visio.Drawing.11" ShapeID="_x0000_i1026" DrawAspect="Content" ObjectID="_1532369690" r:id="rId16"/>
        </w:object>
      </w:r>
    </w:p>
    <w:p w14:paraId="7B82798D" w14:textId="77777777" w:rsidR="00AF3D49" w:rsidRDefault="00AC5F81" w:rsidP="006B2467">
      <w:pPr>
        <w:pStyle w:val="Caption"/>
        <w:jc w:val="center"/>
        <w:rPr>
          <w:lang w:val="en-GB"/>
        </w:rPr>
      </w:pPr>
      <w:r>
        <w:t xml:space="preserve">Figure </w:t>
      </w:r>
      <w:fldSimple w:instr=" SEQ Figure \* ARABIC ">
        <w:r w:rsidR="00790C96">
          <w:rPr>
            <w:noProof/>
          </w:rPr>
          <w:t>1</w:t>
        </w:r>
      </w:fldSimple>
      <w:r>
        <w:t>: DL Centric Subframe</w:t>
      </w:r>
    </w:p>
    <w:p w14:paraId="7B82798E" w14:textId="77777777" w:rsidR="006B2467" w:rsidRPr="006B2467" w:rsidRDefault="006B2467" w:rsidP="000772F9">
      <w:pPr>
        <w:rPr>
          <w:rStyle w:val="Strong"/>
        </w:rPr>
      </w:pPr>
      <w:r w:rsidRPr="006B2467">
        <w:rPr>
          <w:rStyle w:val="Strong"/>
        </w:rPr>
        <w:t xml:space="preserve">SRS Modelling </w:t>
      </w:r>
    </w:p>
    <w:p w14:paraId="7B82798F" w14:textId="77777777" w:rsidR="006B2467" w:rsidRDefault="00740254" w:rsidP="000772F9">
      <w:pPr>
        <w:rPr>
          <w:lang w:val="en-GB"/>
        </w:rPr>
      </w:pPr>
      <w:r>
        <w:rPr>
          <w:lang w:val="en-GB"/>
        </w:rPr>
        <w:t>SRS is used at the BS for channel estimation and reciprocal beamforming for DL. The UE’s transmit power for SRS is controlled through open loop power control. SRS is assumed to be transmitted every subframe, and is transmitted non-orthogonally. SRS is combined across subframes, and a processing gain is derived from link simulations for SRS SNR. This processing gain is a function of both the SRS SI</w:t>
      </w:r>
      <w:r w:rsidR="006B2467">
        <w:rPr>
          <w:lang w:val="en-GB"/>
        </w:rPr>
        <w:t>NR on the UL and the D</w:t>
      </w:r>
      <w:r>
        <w:rPr>
          <w:lang w:val="en-GB"/>
        </w:rPr>
        <w:t xml:space="preserve">oppler. The estimated channel is generated through Gaussian perturbation of the true channel. The estimated channel is </w:t>
      </w:r>
      <w:r w:rsidR="00AC5F81">
        <w:rPr>
          <w:lang w:val="en-GB"/>
        </w:rPr>
        <w:t>then subjected to beam-pruning based on UL SINR</w:t>
      </w:r>
      <w:r>
        <w:rPr>
          <w:lang w:val="en-GB"/>
        </w:rPr>
        <w:t xml:space="preserve"> </w:t>
      </w:r>
      <w:r w:rsidR="00AC5F81">
        <w:rPr>
          <w:lang w:val="en-GB"/>
        </w:rPr>
        <w:t xml:space="preserve">and is then used </w:t>
      </w:r>
      <w:r>
        <w:rPr>
          <w:lang w:val="en-GB"/>
        </w:rPr>
        <w:t>for reciprocal beam-forming on the DL.</w:t>
      </w:r>
      <w:r w:rsidR="006B2467">
        <w:rPr>
          <w:lang w:val="en-GB"/>
        </w:rPr>
        <w:t xml:space="preserve"> </w:t>
      </w:r>
    </w:p>
    <w:p w14:paraId="7B827990" w14:textId="77777777" w:rsidR="006B2467" w:rsidRPr="006B2467" w:rsidRDefault="006B2467" w:rsidP="000772F9">
      <w:pPr>
        <w:rPr>
          <w:rStyle w:val="Strong"/>
        </w:rPr>
      </w:pPr>
      <w:r w:rsidRPr="006B2467">
        <w:rPr>
          <w:rStyle w:val="Strong"/>
        </w:rPr>
        <w:t>Scheduling</w:t>
      </w:r>
    </w:p>
    <w:p w14:paraId="7B827991" w14:textId="77777777" w:rsidR="00620808" w:rsidRDefault="00E574D5" w:rsidP="000772F9">
      <w:pPr>
        <w:rPr>
          <w:lang w:val="en-GB"/>
        </w:rPr>
      </w:pPr>
      <w:r>
        <w:rPr>
          <w:lang w:val="en-GB"/>
        </w:rPr>
        <w:t>We have considered multiple scheduler algorithms for DL simulation. The simulation results in the next section are based on a greedy scheduler algorithm for user-grouping.</w:t>
      </w:r>
      <w:r w:rsidR="00AC5F81">
        <w:rPr>
          <w:lang w:val="en-GB"/>
        </w:rPr>
        <w:t xml:space="preserve"> </w:t>
      </w:r>
      <w:r w:rsidR="00620808">
        <w:rPr>
          <w:lang w:val="en-GB"/>
        </w:rPr>
        <w:t xml:space="preserve">Scheduling decisions are based on the SRS processing at the BS and periodic filtered Rnn feedback from the UE. Prospective beams are derived from SVD of the whitened channel for each user and are ranked based on the proportional fair metric derived using the expected rate for that beam and the throughput served for that user. The beam with the highest PF metric is </w:t>
      </w:r>
      <w:r>
        <w:rPr>
          <w:lang w:val="en-GB"/>
        </w:rPr>
        <w:t>then added to the scheduled-set. The next beam in the PF list is added to the scheduled set provided the leakage from this beam on to those in the scheduled-set is below a certain threshold.</w:t>
      </w:r>
    </w:p>
    <w:p w14:paraId="7B827992" w14:textId="77777777" w:rsidR="00740254" w:rsidRDefault="00507C94" w:rsidP="000772F9">
      <w:pPr>
        <w:rPr>
          <w:lang w:val="en-GB"/>
        </w:rPr>
      </w:pPr>
      <w:r>
        <w:rPr>
          <w:lang w:val="en-GB"/>
        </w:rPr>
        <w:t>T</w:t>
      </w:r>
      <w:r w:rsidR="00620808">
        <w:rPr>
          <w:lang w:val="en-GB"/>
        </w:rPr>
        <w:t xml:space="preserve">he </w:t>
      </w:r>
      <w:r>
        <w:rPr>
          <w:lang w:val="en-GB"/>
        </w:rPr>
        <w:t>scheduling procedure is as follows</w:t>
      </w:r>
      <w:r w:rsidR="00620808">
        <w:rPr>
          <w:lang w:val="en-GB"/>
        </w:rPr>
        <w:t>. Bas</w:t>
      </w:r>
      <w:r w:rsidR="00E574D5">
        <w:rPr>
          <w:lang w:val="en-GB"/>
        </w:rPr>
        <w:t>ed on SRS and Rnn feedback available at the end of a subframe, the scheduler picks a user gr</w:t>
      </w:r>
      <w:r>
        <w:rPr>
          <w:lang w:val="en-GB"/>
        </w:rPr>
        <w:t>oup for scheduling and sends CSI-RS to these users</w:t>
      </w:r>
      <w:r w:rsidR="00E574D5">
        <w:rPr>
          <w:lang w:val="en-GB"/>
        </w:rPr>
        <w:t xml:space="preserve">. </w:t>
      </w:r>
      <w:r>
        <w:rPr>
          <w:lang w:val="en-GB"/>
        </w:rPr>
        <w:t>Based on the CQI feedback, MCS selection is performed and data is scheduled in the following DL centric subframe</w:t>
      </w:r>
      <w:r w:rsidR="004E7322">
        <w:rPr>
          <w:lang w:val="en-GB"/>
        </w:rPr>
        <w:t>.</w:t>
      </w:r>
    </w:p>
    <w:p w14:paraId="7B827993" w14:textId="77777777" w:rsidR="006B2467" w:rsidRPr="006B2467" w:rsidRDefault="006B2467" w:rsidP="000772F9">
      <w:pPr>
        <w:rPr>
          <w:b/>
          <w:lang w:val="en-GB"/>
        </w:rPr>
      </w:pPr>
      <w:r w:rsidRPr="006B2467">
        <w:rPr>
          <w:b/>
          <w:lang w:val="en-GB"/>
        </w:rPr>
        <w:t>Channel Estimation Error and Calibration Error</w:t>
      </w:r>
    </w:p>
    <w:p w14:paraId="7B827994" w14:textId="543DBB64" w:rsidR="00BB316C" w:rsidRDefault="006D434A" w:rsidP="006D434A">
      <w:r>
        <w:t>Channel estimation on the DL is modeled based on link simulations. As on the UL, the channel perturbation on DL also depends on the true Rnn. A processing gain is applied depending upon the number of DMRS tones</w:t>
      </w:r>
      <w:r w:rsidR="008156E2">
        <w:t xml:space="preserve"> (CSIRS</w:t>
      </w:r>
      <w:r>
        <w:t xml:space="preserve"> tones in the c</w:t>
      </w:r>
      <w:r w:rsidR="006B2467">
        <w:t>ase of CQI computation), and D</w:t>
      </w:r>
      <w:r>
        <w:t xml:space="preserve">oppler frequency. </w:t>
      </w:r>
      <w:r w:rsidR="000B300E">
        <w:t>For Rnn perturbation, we are using the Wishart method ([4]).</w:t>
      </w:r>
    </w:p>
    <w:p w14:paraId="7B827995" w14:textId="77777777" w:rsidR="006D434A" w:rsidRDefault="00BB316C" w:rsidP="006D434A">
      <w:r>
        <w:lastRenderedPageBreak/>
        <w:t>W</w:t>
      </w:r>
      <w:r w:rsidR="00DA7F4E">
        <w:t>e have also modeled calibration errors at the BS</w:t>
      </w:r>
      <w:r w:rsidR="001E17D5">
        <w:t>, to perturb the DL beam</w:t>
      </w:r>
      <w:r w:rsidR="00DA7F4E">
        <w:t xml:space="preserve">. </w:t>
      </w:r>
      <w:r w:rsidR="00166056">
        <w:t>At each antenna</w:t>
      </w:r>
      <w:r w:rsidR="00DA7F4E">
        <w:t>, the amplitude is perturbed</w:t>
      </w:r>
      <w:r w:rsidR="001E17D5">
        <w:t xml:space="preserve"> </w:t>
      </w:r>
      <w:r w:rsidR="00DA7F4E">
        <w:t xml:space="preserve">using </w:t>
      </w:r>
      <w:r w:rsidR="00590F03">
        <w:t>U[-1</w:t>
      </w:r>
      <w:r w:rsidR="00DA7F4E">
        <w:t>, 1] dB and the phase by U[-π/32, π/32</w:t>
      </w:r>
      <w:r w:rsidR="00166056">
        <w:t>]</w:t>
      </w:r>
      <w:r w:rsidR="00DA7F4E">
        <w:t>.</w:t>
      </w:r>
    </w:p>
    <w:p w14:paraId="7B827996" w14:textId="77777777" w:rsidR="006D434A" w:rsidRPr="006B2467" w:rsidRDefault="006D434A" w:rsidP="006D434A"/>
    <w:p w14:paraId="7B827997" w14:textId="77777777" w:rsidR="00435840" w:rsidRDefault="00435840" w:rsidP="00435840">
      <w:pPr>
        <w:pStyle w:val="Heading1"/>
        <w:jc w:val="both"/>
      </w:pPr>
      <w:r>
        <w:t>3</w:t>
      </w:r>
      <w:r w:rsidRPr="00CC27F5">
        <w:tab/>
      </w:r>
      <w:r>
        <w:t>Simulation Results</w:t>
      </w:r>
    </w:p>
    <w:p w14:paraId="7B827998" w14:textId="77777777" w:rsidR="00507C94" w:rsidRDefault="00507C94" w:rsidP="00507C94">
      <w:pPr>
        <w:rPr>
          <w:lang w:val="en-GB"/>
        </w:rPr>
      </w:pPr>
      <w:r>
        <w:rPr>
          <w:lang w:val="en-GB"/>
        </w:rPr>
        <w:fldChar w:fldCharType="begin"/>
      </w:r>
      <w:r>
        <w:rPr>
          <w:lang w:val="en-GB"/>
        </w:rPr>
        <w:instrText xml:space="preserve"> REF _Ref450900810 \h </w:instrText>
      </w:r>
      <w:r>
        <w:rPr>
          <w:lang w:val="en-GB"/>
        </w:rPr>
      </w:r>
      <w:r>
        <w:rPr>
          <w:lang w:val="en-GB"/>
        </w:rPr>
        <w:fldChar w:fldCharType="separate"/>
      </w:r>
      <w:r>
        <w:t xml:space="preserve">Figure </w:t>
      </w:r>
      <w:r>
        <w:rPr>
          <w:noProof/>
        </w:rPr>
        <w:t>2</w:t>
      </w:r>
      <w:r>
        <w:rPr>
          <w:lang w:val="en-GB"/>
        </w:rPr>
        <w:fldChar w:fldCharType="end"/>
      </w:r>
      <w:r>
        <w:rPr>
          <w:lang w:val="en-GB"/>
        </w:rPr>
        <w:t xml:space="preserve"> shows the Geometry plot for Dense Urban and Rural scenarios. </w:t>
      </w:r>
      <w:r>
        <w:rPr>
          <w:lang w:val="en-GB"/>
        </w:rPr>
        <w:fldChar w:fldCharType="begin"/>
      </w:r>
      <w:r>
        <w:rPr>
          <w:lang w:val="en-GB"/>
        </w:rPr>
        <w:instrText xml:space="preserve"> REF _Ref450900826 \h </w:instrText>
      </w:r>
      <w:r>
        <w:rPr>
          <w:lang w:val="en-GB"/>
        </w:rPr>
      </w:r>
      <w:r>
        <w:rPr>
          <w:lang w:val="en-GB"/>
        </w:rPr>
        <w:fldChar w:fldCharType="separate"/>
      </w:r>
      <w:r>
        <w:t xml:space="preserve">Figure </w:t>
      </w:r>
      <w:r>
        <w:rPr>
          <w:noProof/>
        </w:rPr>
        <w:t>3</w:t>
      </w:r>
      <w:r>
        <w:rPr>
          <w:lang w:val="en-GB"/>
        </w:rPr>
        <w:fldChar w:fldCharType="end"/>
      </w:r>
      <w:r>
        <w:rPr>
          <w:lang w:val="en-GB"/>
        </w:rPr>
        <w:t xml:space="preserve"> shows the Path Loss distribution. A significant proportion of UEs in Rural scenario are likely to be power-limited on UL. </w:t>
      </w:r>
    </w:p>
    <w:p w14:paraId="7B827999" w14:textId="18DFAB6B" w:rsidR="00507C94" w:rsidRDefault="00151FFC" w:rsidP="00507C94">
      <w:pPr>
        <w:keepNext/>
        <w:jc w:val="center"/>
      </w:pPr>
      <w:r w:rsidRPr="00151FFC">
        <w:rPr>
          <w:noProof/>
          <w:lang w:eastAsia="zh-CN"/>
        </w:rPr>
        <w:drawing>
          <wp:inline distT="0" distB="0" distL="0" distR="0" wp14:anchorId="3F675228" wp14:editId="342F86CE">
            <wp:extent cx="4362450" cy="3271838"/>
            <wp:effectExtent l="0" t="0" r="0" b="5080"/>
            <wp:docPr id="2" name="Picture 2" descr="X:\pensim_062216\pensim\build_modelgen\uma_10_xpol\UMA_RURAL_GEO_COMPA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X:\pensim_062216\pensim\build_modelgen\uma_10_xpol\UMA_RURAL_GEO_COMPARE.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67092" cy="3275319"/>
                    </a:xfrm>
                    <a:prstGeom prst="rect">
                      <a:avLst/>
                    </a:prstGeom>
                    <a:noFill/>
                    <a:ln>
                      <a:noFill/>
                    </a:ln>
                  </pic:spPr>
                </pic:pic>
              </a:graphicData>
            </a:graphic>
          </wp:inline>
        </w:drawing>
      </w:r>
    </w:p>
    <w:p w14:paraId="7B82799A" w14:textId="77777777" w:rsidR="00507C94" w:rsidRDefault="00507C94" w:rsidP="00507C94">
      <w:pPr>
        <w:pStyle w:val="Caption"/>
        <w:jc w:val="center"/>
      </w:pPr>
      <w:bookmarkStart w:id="5" w:name="_Ref450900810"/>
      <w:bookmarkStart w:id="6" w:name="_Ref450900807"/>
      <w:r>
        <w:t xml:space="preserve">Figure </w:t>
      </w:r>
      <w:fldSimple w:instr=" SEQ Figure \* ARABIC ">
        <w:r w:rsidR="00790C96">
          <w:rPr>
            <w:noProof/>
          </w:rPr>
          <w:t>2</w:t>
        </w:r>
      </w:fldSimple>
      <w:bookmarkEnd w:id="5"/>
      <w:r>
        <w:t>: Geometry CDF (Dense-Urban and Rural)</w:t>
      </w:r>
      <w:bookmarkEnd w:id="6"/>
    </w:p>
    <w:p w14:paraId="7B82799B" w14:textId="57FF3BC9" w:rsidR="00507C94" w:rsidRDefault="00151FFC" w:rsidP="00507C94">
      <w:pPr>
        <w:keepNext/>
        <w:jc w:val="center"/>
      </w:pPr>
      <w:r w:rsidRPr="00151FFC">
        <w:rPr>
          <w:noProof/>
          <w:lang w:eastAsia="zh-CN"/>
        </w:rPr>
        <w:drawing>
          <wp:inline distT="0" distB="0" distL="0" distR="0" wp14:anchorId="745BD073" wp14:editId="6D8CA118">
            <wp:extent cx="4371975" cy="3278981"/>
            <wp:effectExtent l="0" t="0" r="0" b="0"/>
            <wp:docPr id="11" name="Picture 11" descr="X:\pensim_062216\pensim\build_modelgen\uma_10_xpol\UMA_RURAL_PL_COMPA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X:\pensim_062216\pensim\build_modelgen\uma_10_xpol\UMA_RURAL_PL_COMPARE.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76228" cy="3282170"/>
                    </a:xfrm>
                    <a:prstGeom prst="rect">
                      <a:avLst/>
                    </a:prstGeom>
                    <a:noFill/>
                    <a:ln>
                      <a:noFill/>
                    </a:ln>
                  </pic:spPr>
                </pic:pic>
              </a:graphicData>
            </a:graphic>
          </wp:inline>
        </w:drawing>
      </w:r>
    </w:p>
    <w:p w14:paraId="7B82799C" w14:textId="77777777" w:rsidR="00507C94" w:rsidRDefault="00507C94" w:rsidP="00507C94">
      <w:pPr>
        <w:pStyle w:val="Caption"/>
        <w:jc w:val="center"/>
        <w:rPr>
          <w:lang w:val="en-GB"/>
        </w:rPr>
      </w:pPr>
      <w:bookmarkStart w:id="7" w:name="_Ref450900826"/>
      <w:r>
        <w:t xml:space="preserve">Figure </w:t>
      </w:r>
      <w:fldSimple w:instr=" SEQ Figure \* ARABIC ">
        <w:r w:rsidR="00790C96">
          <w:rPr>
            <w:noProof/>
          </w:rPr>
          <w:t>3</w:t>
        </w:r>
      </w:fldSimple>
      <w:bookmarkEnd w:id="7"/>
      <w:r>
        <w:t>: Path Loss CDF (Dense-Urban and Rural)</w:t>
      </w:r>
    </w:p>
    <w:p w14:paraId="7B82799D" w14:textId="77777777" w:rsidR="00507C94" w:rsidRDefault="00507C94" w:rsidP="00435840">
      <w:pPr>
        <w:rPr>
          <w:lang w:val="en-GB"/>
        </w:rPr>
      </w:pPr>
    </w:p>
    <w:p w14:paraId="7B82799E" w14:textId="444246AF" w:rsidR="0039661D" w:rsidRDefault="00FE17A0" w:rsidP="00435840">
      <w:pPr>
        <w:rPr>
          <w:lang w:val="en-GB"/>
        </w:rPr>
      </w:pPr>
      <w:r>
        <w:rPr>
          <w:lang w:val="en-GB"/>
        </w:rPr>
        <w:lastRenderedPageBreak/>
        <w:fldChar w:fldCharType="begin"/>
      </w:r>
      <w:r>
        <w:rPr>
          <w:lang w:val="en-GB"/>
        </w:rPr>
        <w:instrText xml:space="preserve"> REF _Ref450900938 \h </w:instrText>
      </w:r>
      <w:r>
        <w:rPr>
          <w:lang w:val="en-GB"/>
        </w:rPr>
      </w:r>
      <w:r>
        <w:rPr>
          <w:lang w:val="en-GB"/>
        </w:rPr>
        <w:fldChar w:fldCharType="separate"/>
      </w:r>
      <w:r>
        <w:t xml:space="preserve">Table </w:t>
      </w:r>
      <w:r>
        <w:rPr>
          <w:noProof/>
        </w:rPr>
        <w:t>2</w:t>
      </w:r>
      <w:r>
        <w:rPr>
          <w:lang w:val="en-GB"/>
        </w:rPr>
        <w:fldChar w:fldCharType="end"/>
      </w:r>
      <w:r>
        <w:rPr>
          <w:lang w:val="en-GB"/>
        </w:rPr>
        <w:t xml:space="preserve"> </w:t>
      </w:r>
      <w:r w:rsidR="00456CFF">
        <w:rPr>
          <w:lang w:val="en-GB"/>
        </w:rPr>
        <w:t>below shows the DL spectral efficiency for Dense Urban and Rural Scenarios</w:t>
      </w:r>
      <w:r w:rsidR="0094463D">
        <w:rPr>
          <w:lang w:val="en-GB"/>
        </w:rPr>
        <w:t xml:space="preserve"> for 10 UEs/Cell.</w:t>
      </w:r>
      <w:r w:rsidR="00650DAC">
        <w:rPr>
          <w:lang w:val="en-GB"/>
        </w:rPr>
        <w:t xml:space="preserve"> Simulations have been run over a 20 MHz component carrier and scaled to </w:t>
      </w:r>
      <w:r w:rsidR="00893464">
        <w:rPr>
          <w:lang w:val="en-GB"/>
        </w:rPr>
        <w:t xml:space="preserve">200 MHz (dense urban) and </w:t>
      </w:r>
      <w:r w:rsidR="00650DAC">
        <w:rPr>
          <w:lang w:val="en-GB"/>
        </w:rPr>
        <w:t>80 MHz</w:t>
      </w:r>
      <w:r w:rsidR="00893464">
        <w:rPr>
          <w:lang w:val="en-GB"/>
        </w:rPr>
        <w:t xml:space="preserve"> (rural).</w:t>
      </w:r>
      <w:r w:rsidR="00650DAC">
        <w:rPr>
          <w:lang w:val="en-GB"/>
        </w:rPr>
        <w:t xml:space="preserve"> UE and BS powers have</w:t>
      </w:r>
      <w:r w:rsidR="00893464">
        <w:rPr>
          <w:lang w:val="en-GB"/>
        </w:rPr>
        <w:t xml:space="preserve"> also been scaled appropriately</w:t>
      </w:r>
      <w:r w:rsidR="00650DAC">
        <w:rPr>
          <w:lang w:val="en-GB"/>
        </w:rPr>
        <w:t>.</w:t>
      </w:r>
      <w:r w:rsidR="004D5F11">
        <w:rPr>
          <w:lang w:val="en-GB"/>
        </w:rPr>
        <w:t xml:space="preserve"> All throughput values and plots capture the impact of DL and UL channel estimation modelling</w:t>
      </w:r>
      <w:r w:rsidR="00955F35">
        <w:rPr>
          <w:lang w:val="en-GB"/>
        </w:rPr>
        <w:t>, and DL Rnn estimation modelling</w:t>
      </w:r>
      <w:r w:rsidR="004D5F11">
        <w:rPr>
          <w:lang w:val="en-GB"/>
        </w:rPr>
        <w:t>.</w:t>
      </w:r>
    </w:p>
    <w:p w14:paraId="7B82799F" w14:textId="2AB12D3D" w:rsidR="009A30A4" w:rsidRDefault="009A30A4" w:rsidP="009A30A4">
      <w:pPr>
        <w:rPr>
          <w:lang w:val="en-GB"/>
        </w:rPr>
      </w:pPr>
      <w:r w:rsidRPr="0015366A">
        <w:rPr>
          <w:b/>
          <w:lang w:val="en-GB"/>
        </w:rPr>
        <w:t>Observation</w:t>
      </w:r>
      <w:r>
        <w:rPr>
          <w:lang w:val="en-GB"/>
        </w:rPr>
        <w:t>: NR DL massive MIMO could meet the 3x IMT-Advanced spectral efficiency requirements based on the initial evaluation results. Further improvement of results are possible.</w:t>
      </w:r>
    </w:p>
    <w:p w14:paraId="7B8279A0" w14:textId="77777777" w:rsidR="00456CFF" w:rsidRDefault="00456CFF" w:rsidP="006B2467">
      <w:pPr>
        <w:pStyle w:val="Caption"/>
        <w:keepNext/>
        <w:jc w:val="center"/>
      </w:pPr>
      <w:bookmarkStart w:id="8" w:name="_Ref450900938"/>
      <w:r>
        <w:t xml:space="preserve">Table </w:t>
      </w:r>
      <w:fldSimple w:instr=" SEQ Table \* ARABIC ">
        <w:r>
          <w:rPr>
            <w:noProof/>
          </w:rPr>
          <w:t>2</w:t>
        </w:r>
      </w:fldSimple>
      <w:bookmarkEnd w:id="8"/>
      <w:r>
        <w:t>: DL Spectral Efficiency</w:t>
      </w:r>
    </w:p>
    <w:tbl>
      <w:tblPr>
        <w:tblW w:w="7320" w:type="dxa"/>
        <w:jc w:val="center"/>
        <w:tblLook w:val="04A0" w:firstRow="1" w:lastRow="0" w:firstColumn="1" w:lastColumn="0" w:noHBand="0" w:noVBand="1"/>
      </w:tblPr>
      <w:tblGrid>
        <w:gridCol w:w="2440"/>
        <w:gridCol w:w="891"/>
        <w:gridCol w:w="1589"/>
        <w:gridCol w:w="862"/>
        <w:gridCol w:w="1538"/>
      </w:tblGrid>
      <w:tr w:rsidR="00456CFF" w:rsidRPr="00456CFF" w14:paraId="7B8279A4" w14:textId="77777777" w:rsidTr="006B2467">
        <w:trPr>
          <w:trHeight w:val="315"/>
          <w:jc w:val="center"/>
        </w:trPr>
        <w:tc>
          <w:tcPr>
            <w:tcW w:w="2440" w:type="dxa"/>
            <w:tcBorders>
              <w:top w:val="nil"/>
              <w:left w:val="nil"/>
              <w:bottom w:val="nil"/>
              <w:right w:val="nil"/>
            </w:tcBorders>
            <w:shd w:val="clear" w:color="auto" w:fill="auto"/>
            <w:noWrap/>
            <w:vAlign w:val="bottom"/>
            <w:hideMark/>
          </w:tcPr>
          <w:p w14:paraId="7B8279A1" w14:textId="77777777" w:rsidR="00456CFF" w:rsidRPr="00456CFF" w:rsidRDefault="00456CFF" w:rsidP="00456CFF">
            <w:pPr>
              <w:overflowPunct/>
              <w:autoSpaceDE/>
              <w:autoSpaceDN/>
              <w:adjustRightInd/>
              <w:spacing w:after="0"/>
              <w:textAlignment w:val="auto"/>
              <w:rPr>
                <w:rFonts w:eastAsia="Times New Roman"/>
                <w:sz w:val="24"/>
                <w:szCs w:val="24"/>
              </w:rPr>
            </w:pPr>
          </w:p>
        </w:tc>
        <w:tc>
          <w:tcPr>
            <w:tcW w:w="2480" w:type="dxa"/>
            <w:gridSpan w:val="2"/>
            <w:tcBorders>
              <w:top w:val="single" w:sz="8" w:space="0" w:color="auto"/>
              <w:left w:val="single" w:sz="8" w:space="0" w:color="auto"/>
              <w:bottom w:val="nil"/>
              <w:right w:val="single" w:sz="8" w:space="0" w:color="000000"/>
            </w:tcBorders>
            <w:shd w:val="clear" w:color="auto" w:fill="auto"/>
            <w:noWrap/>
            <w:vAlign w:val="bottom"/>
            <w:hideMark/>
          </w:tcPr>
          <w:p w14:paraId="7B8279A2" w14:textId="77777777" w:rsidR="00456CFF" w:rsidRPr="00456CFF" w:rsidRDefault="00456CFF" w:rsidP="00456CFF">
            <w:pPr>
              <w:overflowPunct/>
              <w:autoSpaceDE/>
              <w:autoSpaceDN/>
              <w:adjustRightInd/>
              <w:spacing w:after="0"/>
              <w:jc w:val="center"/>
              <w:textAlignment w:val="auto"/>
              <w:rPr>
                <w:rFonts w:ascii="Calibri" w:eastAsia="Times New Roman" w:hAnsi="Calibri"/>
                <w:b/>
                <w:bCs/>
                <w:color w:val="000000"/>
                <w:sz w:val="22"/>
                <w:szCs w:val="22"/>
              </w:rPr>
            </w:pPr>
            <w:r w:rsidRPr="00456CFF">
              <w:rPr>
                <w:rFonts w:ascii="Calibri" w:eastAsia="Times New Roman" w:hAnsi="Calibri"/>
                <w:b/>
                <w:bCs/>
                <w:color w:val="000000"/>
                <w:sz w:val="22"/>
                <w:szCs w:val="22"/>
              </w:rPr>
              <w:t>Dense Urban</w:t>
            </w:r>
          </w:p>
        </w:tc>
        <w:tc>
          <w:tcPr>
            <w:tcW w:w="2400" w:type="dxa"/>
            <w:gridSpan w:val="2"/>
            <w:tcBorders>
              <w:top w:val="single" w:sz="8" w:space="0" w:color="auto"/>
              <w:left w:val="nil"/>
              <w:bottom w:val="nil"/>
              <w:right w:val="single" w:sz="8" w:space="0" w:color="000000"/>
            </w:tcBorders>
            <w:shd w:val="clear" w:color="auto" w:fill="auto"/>
            <w:noWrap/>
            <w:vAlign w:val="bottom"/>
            <w:hideMark/>
          </w:tcPr>
          <w:p w14:paraId="7B8279A3" w14:textId="77777777" w:rsidR="00456CFF" w:rsidRPr="00456CFF" w:rsidRDefault="00456CFF" w:rsidP="00456CFF">
            <w:pPr>
              <w:overflowPunct/>
              <w:autoSpaceDE/>
              <w:autoSpaceDN/>
              <w:adjustRightInd/>
              <w:spacing w:after="0"/>
              <w:jc w:val="center"/>
              <w:textAlignment w:val="auto"/>
              <w:rPr>
                <w:rFonts w:ascii="Calibri" w:eastAsia="Times New Roman" w:hAnsi="Calibri"/>
                <w:b/>
                <w:bCs/>
                <w:color w:val="000000"/>
                <w:sz w:val="22"/>
                <w:szCs w:val="22"/>
              </w:rPr>
            </w:pPr>
            <w:r w:rsidRPr="00456CFF">
              <w:rPr>
                <w:rFonts w:ascii="Calibri" w:eastAsia="Times New Roman" w:hAnsi="Calibri"/>
                <w:b/>
                <w:bCs/>
                <w:color w:val="000000"/>
                <w:sz w:val="22"/>
                <w:szCs w:val="22"/>
              </w:rPr>
              <w:t>Rural</w:t>
            </w:r>
          </w:p>
        </w:tc>
      </w:tr>
      <w:tr w:rsidR="00456CFF" w:rsidRPr="00456CFF" w14:paraId="7B8279AA" w14:textId="77777777" w:rsidTr="006B2467">
        <w:trPr>
          <w:trHeight w:val="315"/>
          <w:jc w:val="center"/>
        </w:trPr>
        <w:tc>
          <w:tcPr>
            <w:tcW w:w="2440" w:type="dxa"/>
            <w:tcBorders>
              <w:top w:val="single" w:sz="8" w:space="0" w:color="auto"/>
              <w:left w:val="single" w:sz="8" w:space="0" w:color="auto"/>
              <w:bottom w:val="nil"/>
              <w:right w:val="nil"/>
            </w:tcBorders>
            <w:shd w:val="clear" w:color="auto" w:fill="auto"/>
            <w:noWrap/>
            <w:vAlign w:val="center"/>
            <w:hideMark/>
          </w:tcPr>
          <w:p w14:paraId="7B8279A5" w14:textId="77777777" w:rsidR="00456CFF" w:rsidRPr="00456CFF" w:rsidRDefault="00456CFF" w:rsidP="00456CFF">
            <w:pPr>
              <w:overflowPunct/>
              <w:autoSpaceDE/>
              <w:autoSpaceDN/>
              <w:adjustRightInd/>
              <w:spacing w:after="0"/>
              <w:jc w:val="center"/>
              <w:textAlignment w:val="auto"/>
              <w:rPr>
                <w:rFonts w:ascii="Calibri" w:eastAsia="Times New Roman" w:hAnsi="Calibri"/>
                <w:color w:val="000000"/>
                <w:sz w:val="22"/>
                <w:szCs w:val="22"/>
              </w:rPr>
            </w:pPr>
            <w:r w:rsidRPr="00456CFF">
              <w:rPr>
                <w:rFonts w:ascii="Calibri" w:eastAsia="Times New Roman" w:hAnsi="Calibri"/>
                <w:color w:val="000000"/>
                <w:sz w:val="22"/>
                <w:szCs w:val="22"/>
              </w:rPr>
              <w:t> </w:t>
            </w:r>
          </w:p>
        </w:tc>
        <w:tc>
          <w:tcPr>
            <w:tcW w:w="89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8279A6" w14:textId="77777777" w:rsidR="00456CFF" w:rsidRPr="00456CFF" w:rsidRDefault="00456CFF" w:rsidP="00456CFF">
            <w:pPr>
              <w:overflowPunct/>
              <w:autoSpaceDE/>
              <w:autoSpaceDN/>
              <w:adjustRightInd/>
              <w:spacing w:after="0"/>
              <w:jc w:val="center"/>
              <w:textAlignment w:val="auto"/>
              <w:rPr>
                <w:rFonts w:ascii="Calibri" w:eastAsia="Times New Roman" w:hAnsi="Calibri"/>
                <w:b/>
                <w:bCs/>
                <w:color w:val="000000"/>
                <w:sz w:val="22"/>
                <w:szCs w:val="22"/>
              </w:rPr>
            </w:pPr>
            <w:r w:rsidRPr="00456CFF">
              <w:rPr>
                <w:rFonts w:ascii="Calibri" w:eastAsia="Times New Roman" w:hAnsi="Calibri"/>
                <w:b/>
                <w:bCs/>
                <w:color w:val="000000"/>
                <w:sz w:val="22"/>
                <w:szCs w:val="22"/>
              </w:rPr>
              <w:t>Target</w:t>
            </w:r>
          </w:p>
        </w:tc>
        <w:tc>
          <w:tcPr>
            <w:tcW w:w="1589" w:type="dxa"/>
            <w:tcBorders>
              <w:top w:val="single" w:sz="8" w:space="0" w:color="auto"/>
              <w:left w:val="nil"/>
              <w:bottom w:val="single" w:sz="8" w:space="0" w:color="auto"/>
              <w:right w:val="single" w:sz="8" w:space="0" w:color="auto"/>
            </w:tcBorders>
            <w:shd w:val="clear" w:color="auto" w:fill="auto"/>
            <w:noWrap/>
            <w:vAlign w:val="center"/>
            <w:hideMark/>
          </w:tcPr>
          <w:p w14:paraId="7B8279A7" w14:textId="77777777" w:rsidR="00456CFF" w:rsidRPr="00456CFF" w:rsidRDefault="00456CFF" w:rsidP="00456CFF">
            <w:pPr>
              <w:overflowPunct/>
              <w:autoSpaceDE/>
              <w:autoSpaceDN/>
              <w:adjustRightInd/>
              <w:spacing w:after="0"/>
              <w:jc w:val="center"/>
              <w:textAlignment w:val="auto"/>
              <w:rPr>
                <w:rFonts w:ascii="Calibri" w:eastAsia="Times New Roman" w:hAnsi="Calibri"/>
                <w:b/>
                <w:bCs/>
                <w:color w:val="000000"/>
                <w:sz w:val="22"/>
                <w:szCs w:val="22"/>
              </w:rPr>
            </w:pPr>
            <w:r w:rsidRPr="00456CFF">
              <w:rPr>
                <w:rFonts w:ascii="Calibri" w:eastAsia="Times New Roman" w:hAnsi="Calibri"/>
                <w:b/>
                <w:bCs/>
                <w:color w:val="000000"/>
                <w:sz w:val="22"/>
                <w:szCs w:val="22"/>
              </w:rPr>
              <w:t>Simulations</w:t>
            </w:r>
          </w:p>
        </w:tc>
        <w:tc>
          <w:tcPr>
            <w:tcW w:w="862" w:type="dxa"/>
            <w:tcBorders>
              <w:top w:val="single" w:sz="8" w:space="0" w:color="auto"/>
              <w:left w:val="nil"/>
              <w:bottom w:val="single" w:sz="8" w:space="0" w:color="auto"/>
              <w:right w:val="single" w:sz="8" w:space="0" w:color="auto"/>
            </w:tcBorders>
            <w:shd w:val="clear" w:color="auto" w:fill="auto"/>
            <w:noWrap/>
            <w:vAlign w:val="center"/>
            <w:hideMark/>
          </w:tcPr>
          <w:p w14:paraId="7B8279A8" w14:textId="77777777" w:rsidR="00456CFF" w:rsidRPr="00456CFF" w:rsidRDefault="00456CFF" w:rsidP="00456CFF">
            <w:pPr>
              <w:overflowPunct/>
              <w:autoSpaceDE/>
              <w:autoSpaceDN/>
              <w:adjustRightInd/>
              <w:spacing w:after="0"/>
              <w:jc w:val="center"/>
              <w:textAlignment w:val="auto"/>
              <w:rPr>
                <w:rFonts w:ascii="Calibri" w:eastAsia="Times New Roman" w:hAnsi="Calibri"/>
                <w:b/>
                <w:bCs/>
                <w:color w:val="000000"/>
                <w:sz w:val="22"/>
                <w:szCs w:val="22"/>
              </w:rPr>
            </w:pPr>
            <w:r w:rsidRPr="00456CFF">
              <w:rPr>
                <w:rFonts w:ascii="Calibri" w:eastAsia="Times New Roman" w:hAnsi="Calibri"/>
                <w:b/>
                <w:bCs/>
                <w:color w:val="000000"/>
                <w:sz w:val="22"/>
                <w:szCs w:val="22"/>
              </w:rPr>
              <w:t>Target</w:t>
            </w:r>
          </w:p>
        </w:tc>
        <w:tc>
          <w:tcPr>
            <w:tcW w:w="1538" w:type="dxa"/>
            <w:tcBorders>
              <w:top w:val="single" w:sz="8" w:space="0" w:color="auto"/>
              <w:left w:val="nil"/>
              <w:bottom w:val="single" w:sz="8" w:space="0" w:color="auto"/>
              <w:right w:val="single" w:sz="8" w:space="0" w:color="auto"/>
            </w:tcBorders>
            <w:shd w:val="clear" w:color="auto" w:fill="auto"/>
            <w:noWrap/>
            <w:vAlign w:val="center"/>
            <w:hideMark/>
          </w:tcPr>
          <w:p w14:paraId="7B8279A9" w14:textId="77777777" w:rsidR="00456CFF" w:rsidRPr="00456CFF" w:rsidRDefault="00456CFF" w:rsidP="00456CFF">
            <w:pPr>
              <w:overflowPunct/>
              <w:autoSpaceDE/>
              <w:autoSpaceDN/>
              <w:adjustRightInd/>
              <w:spacing w:after="0"/>
              <w:jc w:val="center"/>
              <w:textAlignment w:val="auto"/>
              <w:rPr>
                <w:rFonts w:ascii="Calibri" w:eastAsia="Times New Roman" w:hAnsi="Calibri"/>
                <w:b/>
                <w:bCs/>
                <w:color w:val="000000"/>
                <w:sz w:val="22"/>
                <w:szCs w:val="22"/>
              </w:rPr>
            </w:pPr>
            <w:r w:rsidRPr="00456CFF">
              <w:rPr>
                <w:rFonts w:ascii="Calibri" w:eastAsia="Times New Roman" w:hAnsi="Calibri"/>
                <w:b/>
                <w:bCs/>
                <w:color w:val="000000"/>
                <w:sz w:val="22"/>
                <w:szCs w:val="22"/>
              </w:rPr>
              <w:t>Simulations</w:t>
            </w:r>
          </w:p>
        </w:tc>
      </w:tr>
      <w:tr w:rsidR="00456CFF" w:rsidRPr="00456CFF" w14:paraId="7B8279B0" w14:textId="77777777" w:rsidTr="006B2467">
        <w:trPr>
          <w:trHeight w:val="675"/>
          <w:jc w:val="center"/>
        </w:trPr>
        <w:tc>
          <w:tcPr>
            <w:tcW w:w="2440" w:type="dxa"/>
            <w:tcBorders>
              <w:top w:val="single" w:sz="8" w:space="0" w:color="auto"/>
              <w:left w:val="single" w:sz="8" w:space="0" w:color="auto"/>
              <w:bottom w:val="single" w:sz="8" w:space="0" w:color="auto"/>
              <w:right w:val="nil"/>
            </w:tcBorders>
            <w:shd w:val="clear" w:color="auto" w:fill="auto"/>
            <w:vAlign w:val="center"/>
            <w:hideMark/>
          </w:tcPr>
          <w:p w14:paraId="7B8279AB" w14:textId="77777777" w:rsidR="00456CFF" w:rsidRPr="00456CFF" w:rsidRDefault="00456CFF" w:rsidP="00456CFF">
            <w:pPr>
              <w:overflowPunct/>
              <w:autoSpaceDE/>
              <w:autoSpaceDN/>
              <w:adjustRightInd/>
              <w:spacing w:after="0"/>
              <w:jc w:val="center"/>
              <w:textAlignment w:val="auto"/>
              <w:rPr>
                <w:rFonts w:ascii="Calibri" w:eastAsia="Times New Roman" w:hAnsi="Calibri"/>
                <w:b/>
                <w:bCs/>
                <w:color w:val="000000"/>
                <w:sz w:val="22"/>
                <w:szCs w:val="22"/>
              </w:rPr>
            </w:pPr>
            <w:r w:rsidRPr="00456CFF">
              <w:rPr>
                <w:rFonts w:ascii="Calibri" w:eastAsia="Times New Roman" w:hAnsi="Calibri"/>
                <w:b/>
                <w:bCs/>
                <w:color w:val="000000"/>
                <w:sz w:val="22"/>
                <w:szCs w:val="22"/>
              </w:rPr>
              <w:t>Cell Spectral Efficiency [bps/Hz/TRP]</w:t>
            </w:r>
          </w:p>
        </w:tc>
        <w:tc>
          <w:tcPr>
            <w:tcW w:w="891" w:type="dxa"/>
            <w:tcBorders>
              <w:top w:val="nil"/>
              <w:left w:val="single" w:sz="8" w:space="0" w:color="auto"/>
              <w:bottom w:val="single" w:sz="8" w:space="0" w:color="auto"/>
              <w:right w:val="nil"/>
            </w:tcBorders>
            <w:shd w:val="clear" w:color="auto" w:fill="auto"/>
            <w:noWrap/>
            <w:vAlign w:val="center"/>
            <w:hideMark/>
          </w:tcPr>
          <w:p w14:paraId="7B8279AC" w14:textId="77777777" w:rsidR="00456CFF" w:rsidRPr="00456CFF" w:rsidRDefault="00456CFF" w:rsidP="00456CFF">
            <w:pPr>
              <w:overflowPunct/>
              <w:autoSpaceDE/>
              <w:autoSpaceDN/>
              <w:adjustRightInd/>
              <w:spacing w:after="0"/>
              <w:jc w:val="center"/>
              <w:textAlignment w:val="auto"/>
              <w:rPr>
                <w:rFonts w:ascii="Calibri" w:eastAsia="Times New Roman" w:hAnsi="Calibri"/>
                <w:color w:val="000000"/>
                <w:sz w:val="22"/>
                <w:szCs w:val="22"/>
              </w:rPr>
            </w:pPr>
            <w:r w:rsidRPr="00456CFF">
              <w:rPr>
                <w:rFonts w:ascii="Calibri" w:eastAsia="Times New Roman" w:hAnsi="Calibri"/>
                <w:color w:val="000000"/>
                <w:sz w:val="22"/>
                <w:szCs w:val="22"/>
              </w:rPr>
              <w:t>7.8</w:t>
            </w:r>
            <w:r w:rsidR="00234482">
              <w:rPr>
                <w:rFonts w:ascii="Calibri" w:eastAsia="Times New Roman" w:hAnsi="Calibri"/>
                <w:color w:val="000000"/>
                <w:sz w:val="22"/>
                <w:szCs w:val="22"/>
              </w:rPr>
              <w:t>0</w:t>
            </w:r>
          </w:p>
        </w:tc>
        <w:tc>
          <w:tcPr>
            <w:tcW w:w="1589" w:type="dxa"/>
            <w:tcBorders>
              <w:top w:val="nil"/>
              <w:left w:val="nil"/>
              <w:bottom w:val="single" w:sz="8" w:space="0" w:color="auto"/>
              <w:right w:val="single" w:sz="8" w:space="0" w:color="auto"/>
            </w:tcBorders>
            <w:shd w:val="clear" w:color="auto" w:fill="auto"/>
            <w:noWrap/>
            <w:vAlign w:val="center"/>
            <w:hideMark/>
          </w:tcPr>
          <w:p w14:paraId="7B8279AD" w14:textId="48DFEB85" w:rsidR="00456CFF" w:rsidRPr="009A30A4" w:rsidRDefault="002B11AC" w:rsidP="002B11AC">
            <w:pPr>
              <w:overflowPunct/>
              <w:autoSpaceDE/>
              <w:autoSpaceDN/>
              <w:adjustRightInd/>
              <w:spacing w:after="0"/>
              <w:jc w:val="center"/>
              <w:textAlignment w:val="auto"/>
              <w:rPr>
                <w:rFonts w:ascii="Calibri" w:eastAsia="Times New Roman" w:hAnsi="Calibri"/>
                <w:color w:val="00B050"/>
                <w:sz w:val="22"/>
                <w:szCs w:val="22"/>
              </w:rPr>
            </w:pPr>
            <w:r>
              <w:rPr>
                <w:rFonts w:ascii="Calibri" w:eastAsia="Times New Roman" w:hAnsi="Calibri"/>
                <w:color w:val="00B050"/>
                <w:sz w:val="22"/>
                <w:szCs w:val="22"/>
              </w:rPr>
              <w:t>11</w:t>
            </w:r>
            <w:r w:rsidR="00456CFF" w:rsidRPr="009A30A4">
              <w:rPr>
                <w:rFonts w:ascii="Calibri" w:eastAsia="Times New Roman" w:hAnsi="Calibri"/>
                <w:color w:val="00B050"/>
                <w:sz w:val="22"/>
                <w:szCs w:val="22"/>
              </w:rPr>
              <w:t>.</w:t>
            </w:r>
            <w:r>
              <w:rPr>
                <w:rFonts w:ascii="Calibri" w:eastAsia="Times New Roman" w:hAnsi="Calibri"/>
                <w:color w:val="00B050"/>
                <w:sz w:val="22"/>
                <w:szCs w:val="22"/>
              </w:rPr>
              <w:t>16</w:t>
            </w:r>
          </w:p>
        </w:tc>
        <w:tc>
          <w:tcPr>
            <w:tcW w:w="862" w:type="dxa"/>
            <w:tcBorders>
              <w:top w:val="nil"/>
              <w:left w:val="nil"/>
              <w:bottom w:val="single" w:sz="8" w:space="0" w:color="auto"/>
              <w:right w:val="nil"/>
            </w:tcBorders>
            <w:shd w:val="clear" w:color="auto" w:fill="auto"/>
            <w:noWrap/>
            <w:vAlign w:val="center"/>
            <w:hideMark/>
          </w:tcPr>
          <w:p w14:paraId="7B8279AE" w14:textId="77777777" w:rsidR="00456CFF" w:rsidRPr="00456CFF" w:rsidRDefault="00456CFF" w:rsidP="00456CFF">
            <w:pPr>
              <w:overflowPunct/>
              <w:autoSpaceDE/>
              <w:autoSpaceDN/>
              <w:adjustRightInd/>
              <w:spacing w:after="0"/>
              <w:jc w:val="center"/>
              <w:textAlignment w:val="auto"/>
              <w:rPr>
                <w:rFonts w:ascii="Calibri" w:eastAsia="Times New Roman" w:hAnsi="Calibri"/>
                <w:color w:val="000000"/>
                <w:sz w:val="22"/>
                <w:szCs w:val="22"/>
              </w:rPr>
            </w:pPr>
            <w:r w:rsidRPr="00456CFF">
              <w:rPr>
                <w:rFonts w:ascii="Calibri" w:eastAsia="Times New Roman" w:hAnsi="Calibri"/>
                <w:color w:val="000000"/>
                <w:sz w:val="22"/>
                <w:szCs w:val="22"/>
              </w:rPr>
              <w:t>3.30</w:t>
            </w:r>
          </w:p>
        </w:tc>
        <w:tc>
          <w:tcPr>
            <w:tcW w:w="1538" w:type="dxa"/>
            <w:tcBorders>
              <w:top w:val="nil"/>
              <w:left w:val="nil"/>
              <w:bottom w:val="single" w:sz="8" w:space="0" w:color="auto"/>
              <w:right w:val="single" w:sz="8" w:space="0" w:color="auto"/>
            </w:tcBorders>
            <w:shd w:val="clear" w:color="auto" w:fill="auto"/>
            <w:noWrap/>
            <w:vAlign w:val="center"/>
            <w:hideMark/>
          </w:tcPr>
          <w:p w14:paraId="7B8279AF" w14:textId="17E67150" w:rsidR="00456CFF" w:rsidRPr="009A30A4" w:rsidRDefault="00F555E8" w:rsidP="002B11AC">
            <w:pPr>
              <w:overflowPunct/>
              <w:autoSpaceDE/>
              <w:autoSpaceDN/>
              <w:adjustRightInd/>
              <w:spacing w:after="0"/>
              <w:jc w:val="center"/>
              <w:textAlignment w:val="auto"/>
              <w:rPr>
                <w:rFonts w:ascii="Calibri" w:eastAsia="Times New Roman" w:hAnsi="Calibri"/>
                <w:color w:val="00B050"/>
                <w:sz w:val="22"/>
                <w:szCs w:val="22"/>
              </w:rPr>
            </w:pPr>
            <w:r>
              <w:rPr>
                <w:rFonts w:ascii="Calibri" w:eastAsia="Times New Roman" w:hAnsi="Calibri"/>
                <w:color w:val="00B050"/>
                <w:sz w:val="22"/>
                <w:szCs w:val="22"/>
              </w:rPr>
              <w:t>4.18</w:t>
            </w:r>
          </w:p>
        </w:tc>
      </w:tr>
      <w:tr w:rsidR="00456CFF" w:rsidRPr="00456CFF" w14:paraId="7B8279B6" w14:textId="77777777" w:rsidTr="006B2467">
        <w:trPr>
          <w:trHeight w:val="615"/>
          <w:jc w:val="center"/>
        </w:trPr>
        <w:tc>
          <w:tcPr>
            <w:tcW w:w="2440" w:type="dxa"/>
            <w:tcBorders>
              <w:top w:val="nil"/>
              <w:left w:val="single" w:sz="8" w:space="0" w:color="auto"/>
              <w:bottom w:val="single" w:sz="8" w:space="0" w:color="auto"/>
              <w:right w:val="nil"/>
            </w:tcBorders>
            <w:shd w:val="clear" w:color="auto" w:fill="auto"/>
            <w:vAlign w:val="center"/>
            <w:hideMark/>
          </w:tcPr>
          <w:p w14:paraId="7B8279B1" w14:textId="77777777" w:rsidR="00456CFF" w:rsidRPr="00456CFF" w:rsidRDefault="00456CFF" w:rsidP="00456CFF">
            <w:pPr>
              <w:overflowPunct/>
              <w:autoSpaceDE/>
              <w:autoSpaceDN/>
              <w:adjustRightInd/>
              <w:spacing w:after="0"/>
              <w:jc w:val="center"/>
              <w:textAlignment w:val="auto"/>
              <w:rPr>
                <w:rFonts w:ascii="Calibri" w:eastAsia="Times New Roman" w:hAnsi="Calibri"/>
                <w:b/>
                <w:bCs/>
                <w:color w:val="000000"/>
                <w:sz w:val="22"/>
                <w:szCs w:val="22"/>
              </w:rPr>
            </w:pPr>
            <w:r w:rsidRPr="00456CFF">
              <w:rPr>
                <w:rFonts w:ascii="Calibri" w:eastAsia="Times New Roman" w:hAnsi="Calibri"/>
                <w:b/>
                <w:bCs/>
                <w:color w:val="000000"/>
                <w:sz w:val="22"/>
                <w:szCs w:val="22"/>
              </w:rPr>
              <w:t>Edge User Spectral Efficiency [bps/Hz]</w:t>
            </w:r>
          </w:p>
        </w:tc>
        <w:tc>
          <w:tcPr>
            <w:tcW w:w="891" w:type="dxa"/>
            <w:tcBorders>
              <w:top w:val="nil"/>
              <w:left w:val="single" w:sz="8" w:space="0" w:color="auto"/>
              <w:bottom w:val="single" w:sz="8" w:space="0" w:color="auto"/>
              <w:right w:val="nil"/>
            </w:tcBorders>
            <w:shd w:val="clear" w:color="auto" w:fill="auto"/>
            <w:noWrap/>
            <w:vAlign w:val="center"/>
            <w:hideMark/>
          </w:tcPr>
          <w:p w14:paraId="7B8279B2" w14:textId="77777777" w:rsidR="00456CFF" w:rsidRPr="00456CFF" w:rsidRDefault="00456CFF" w:rsidP="00456CFF">
            <w:pPr>
              <w:overflowPunct/>
              <w:autoSpaceDE/>
              <w:autoSpaceDN/>
              <w:adjustRightInd/>
              <w:spacing w:after="0"/>
              <w:jc w:val="center"/>
              <w:textAlignment w:val="auto"/>
              <w:rPr>
                <w:rFonts w:ascii="Calibri" w:eastAsia="Times New Roman" w:hAnsi="Calibri"/>
                <w:color w:val="000000"/>
                <w:sz w:val="22"/>
                <w:szCs w:val="22"/>
              </w:rPr>
            </w:pPr>
            <w:r w:rsidRPr="00456CFF">
              <w:rPr>
                <w:rFonts w:ascii="Calibri" w:eastAsia="Times New Roman" w:hAnsi="Calibri"/>
                <w:color w:val="000000"/>
                <w:sz w:val="22"/>
                <w:szCs w:val="22"/>
              </w:rPr>
              <w:t>0.225</w:t>
            </w:r>
          </w:p>
        </w:tc>
        <w:tc>
          <w:tcPr>
            <w:tcW w:w="1589" w:type="dxa"/>
            <w:tcBorders>
              <w:top w:val="nil"/>
              <w:left w:val="nil"/>
              <w:bottom w:val="single" w:sz="8" w:space="0" w:color="auto"/>
              <w:right w:val="single" w:sz="8" w:space="0" w:color="auto"/>
            </w:tcBorders>
            <w:shd w:val="clear" w:color="auto" w:fill="auto"/>
            <w:noWrap/>
            <w:vAlign w:val="center"/>
            <w:hideMark/>
          </w:tcPr>
          <w:p w14:paraId="7B8279B3" w14:textId="3FBE37B5" w:rsidR="00456CFF" w:rsidRPr="009A30A4" w:rsidRDefault="002B11AC" w:rsidP="00456CFF">
            <w:pPr>
              <w:overflowPunct/>
              <w:autoSpaceDE/>
              <w:autoSpaceDN/>
              <w:adjustRightInd/>
              <w:spacing w:after="0"/>
              <w:jc w:val="center"/>
              <w:textAlignment w:val="auto"/>
              <w:rPr>
                <w:rFonts w:ascii="Calibri" w:eastAsia="Times New Roman" w:hAnsi="Calibri"/>
                <w:color w:val="00B050"/>
                <w:sz w:val="22"/>
                <w:szCs w:val="22"/>
              </w:rPr>
            </w:pPr>
            <w:r>
              <w:rPr>
                <w:rFonts w:ascii="Calibri" w:eastAsia="Times New Roman" w:hAnsi="Calibri"/>
                <w:color w:val="00B050"/>
                <w:sz w:val="22"/>
                <w:szCs w:val="22"/>
              </w:rPr>
              <w:t>0.43</w:t>
            </w:r>
          </w:p>
        </w:tc>
        <w:tc>
          <w:tcPr>
            <w:tcW w:w="862" w:type="dxa"/>
            <w:tcBorders>
              <w:top w:val="nil"/>
              <w:left w:val="nil"/>
              <w:bottom w:val="single" w:sz="8" w:space="0" w:color="auto"/>
              <w:right w:val="nil"/>
            </w:tcBorders>
            <w:shd w:val="clear" w:color="auto" w:fill="auto"/>
            <w:noWrap/>
            <w:vAlign w:val="center"/>
            <w:hideMark/>
          </w:tcPr>
          <w:p w14:paraId="7B8279B4" w14:textId="77777777" w:rsidR="00456CFF" w:rsidRPr="00456CFF" w:rsidRDefault="00456CFF" w:rsidP="00456CFF">
            <w:pPr>
              <w:overflowPunct/>
              <w:autoSpaceDE/>
              <w:autoSpaceDN/>
              <w:adjustRightInd/>
              <w:spacing w:after="0"/>
              <w:jc w:val="center"/>
              <w:textAlignment w:val="auto"/>
              <w:rPr>
                <w:rFonts w:ascii="Calibri" w:eastAsia="Times New Roman" w:hAnsi="Calibri"/>
                <w:color w:val="000000"/>
                <w:sz w:val="22"/>
                <w:szCs w:val="22"/>
              </w:rPr>
            </w:pPr>
            <w:r w:rsidRPr="00456CFF">
              <w:rPr>
                <w:rFonts w:ascii="Calibri" w:eastAsia="Times New Roman" w:hAnsi="Calibri"/>
                <w:color w:val="000000"/>
                <w:sz w:val="22"/>
                <w:szCs w:val="22"/>
              </w:rPr>
              <w:t>0.12</w:t>
            </w:r>
          </w:p>
        </w:tc>
        <w:tc>
          <w:tcPr>
            <w:tcW w:w="1538" w:type="dxa"/>
            <w:tcBorders>
              <w:top w:val="nil"/>
              <w:left w:val="nil"/>
              <w:bottom w:val="single" w:sz="8" w:space="0" w:color="auto"/>
              <w:right w:val="single" w:sz="8" w:space="0" w:color="auto"/>
            </w:tcBorders>
            <w:shd w:val="clear" w:color="auto" w:fill="auto"/>
            <w:noWrap/>
            <w:vAlign w:val="center"/>
            <w:hideMark/>
          </w:tcPr>
          <w:p w14:paraId="7B8279B5" w14:textId="2537D0A9" w:rsidR="00456CFF" w:rsidRPr="009A30A4" w:rsidRDefault="00F555E8" w:rsidP="002B11AC">
            <w:pPr>
              <w:overflowPunct/>
              <w:autoSpaceDE/>
              <w:autoSpaceDN/>
              <w:adjustRightInd/>
              <w:spacing w:after="0"/>
              <w:jc w:val="center"/>
              <w:textAlignment w:val="auto"/>
              <w:rPr>
                <w:rFonts w:ascii="Calibri" w:eastAsia="Times New Roman" w:hAnsi="Calibri"/>
                <w:color w:val="FF0000"/>
                <w:sz w:val="22"/>
                <w:szCs w:val="22"/>
              </w:rPr>
            </w:pPr>
            <w:r w:rsidRPr="00F555E8">
              <w:rPr>
                <w:rFonts w:ascii="Calibri" w:eastAsia="Times New Roman" w:hAnsi="Calibri"/>
                <w:color w:val="00B050"/>
                <w:sz w:val="22"/>
                <w:szCs w:val="22"/>
              </w:rPr>
              <w:t>0.14</w:t>
            </w:r>
          </w:p>
        </w:tc>
      </w:tr>
    </w:tbl>
    <w:p w14:paraId="7B8279B7" w14:textId="77777777" w:rsidR="00456CFF" w:rsidRDefault="00456CFF" w:rsidP="00435840">
      <w:pPr>
        <w:rPr>
          <w:lang w:val="en-GB"/>
        </w:rPr>
      </w:pPr>
    </w:p>
    <w:p w14:paraId="7B8279B8" w14:textId="673B3E1C" w:rsidR="003160EC" w:rsidRDefault="003160EC" w:rsidP="00435840">
      <w:pPr>
        <w:rPr>
          <w:lang w:val="en-GB"/>
        </w:rPr>
      </w:pPr>
      <w:r>
        <w:rPr>
          <w:lang w:val="en-GB"/>
        </w:rPr>
        <w:fldChar w:fldCharType="begin"/>
      </w:r>
      <w:r>
        <w:rPr>
          <w:lang w:val="en-GB"/>
        </w:rPr>
        <w:instrText xml:space="preserve"> REF _Ref450827334 \h </w:instrText>
      </w:r>
      <w:r>
        <w:rPr>
          <w:lang w:val="en-GB"/>
        </w:rPr>
      </w:r>
      <w:r>
        <w:rPr>
          <w:lang w:val="en-GB"/>
        </w:rPr>
        <w:fldChar w:fldCharType="separate"/>
      </w:r>
      <w:r w:rsidR="00B162C5">
        <w:t xml:space="preserve">Figure </w:t>
      </w:r>
      <w:r w:rsidR="00B162C5">
        <w:rPr>
          <w:noProof/>
        </w:rPr>
        <w:t>4</w:t>
      </w:r>
      <w:r>
        <w:rPr>
          <w:lang w:val="en-GB"/>
        </w:rPr>
        <w:fldChar w:fldCharType="end"/>
      </w:r>
      <w:r>
        <w:rPr>
          <w:lang w:val="en-GB"/>
        </w:rPr>
        <w:t xml:space="preserve"> shows the CDF of the UE SRS transmit power on the UL. </w:t>
      </w:r>
      <w:r w:rsidR="002D531E">
        <w:rPr>
          <w:lang w:val="en-GB"/>
        </w:rPr>
        <w:t xml:space="preserve">SRS power is set through OLPC with a SNR target of -5 dB. </w:t>
      </w:r>
      <w:r>
        <w:rPr>
          <w:lang w:val="en-GB"/>
        </w:rPr>
        <w:t>None of the UEs is power limited in the Dense Urban scenario. Since we have run the sim</w:t>
      </w:r>
      <w:r w:rsidR="00771844">
        <w:rPr>
          <w:lang w:val="en-GB"/>
        </w:rPr>
        <w:t>ulation</w:t>
      </w:r>
      <w:r>
        <w:rPr>
          <w:lang w:val="en-GB"/>
        </w:rPr>
        <w:t xml:space="preserve">s over a 20 MHz CC, we have scaled Max UE power to 17 dBm. Roughly 40% of the UEs are power-limited in the Rural case. In the simulations that follow, all the UEs are sounding over the wideband. </w:t>
      </w:r>
      <w:r w:rsidR="00A45249">
        <w:rPr>
          <w:lang w:val="en-GB"/>
        </w:rPr>
        <w:t>In the Dense-urban case, the above spectral efficiency is also valid over a BW of 200 MHz.</w:t>
      </w:r>
      <w:r w:rsidR="00782920">
        <w:rPr>
          <w:lang w:val="en-GB"/>
        </w:rPr>
        <w:t xml:space="preserve"> </w:t>
      </w:r>
      <w:r w:rsidR="00782920">
        <w:rPr>
          <w:lang w:val="en-GB"/>
        </w:rPr>
        <w:fldChar w:fldCharType="begin"/>
      </w:r>
      <w:r w:rsidR="00782920">
        <w:rPr>
          <w:lang w:val="en-GB"/>
        </w:rPr>
        <w:instrText xml:space="preserve"> REF _Ref450921143 \h </w:instrText>
      </w:r>
      <w:r w:rsidR="00782920">
        <w:rPr>
          <w:lang w:val="en-GB"/>
        </w:rPr>
      </w:r>
      <w:r w:rsidR="00782920">
        <w:rPr>
          <w:lang w:val="en-GB"/>
        </w:rPr>
        <w:fldChar w:fldCharType="separate"/>
      </w:r>
      <w:r w:rsidR="00782920">
        <w:t xml:space="preserve">Figure </w:t>
      </w:r>
      <w:r w:rsidR="00782920">
        <w:rPr>
          <w:noProof/>
        </w:rPr>
        <w:t>5</w:t>
      </w:r>
      <w:r w:rsidR="00782920">
        <w:rPr>
          <w:lang w:val="en-GB"/>
        </w:rPr>
        <w:fldChar w:fldCharType="end"/>
      </w:r>
      <w:r w:rsidR="00782920">
        <w:rPr>
          <w:lang w:val="en-GB"/>
        </w:rPr>
        <w:t xml:space="preserve"> shows the IOT CCDF on the UL for SRS.</w:t>
      </w:r>
    </w:p>
    <w:p w14:paraId="7B8279B9" w14:textId="7B18FFCF" w:rsidR="00302C13" w:rsidRDefault="006B3749" w:rsidP="006B2467">
      <w:pPr>
        <w:keepNext/>
        <w:jc w:val="center"/>
      </w:pPr>
      <w:r w:rsidRPr="006B3749">
        <w:rPr>
          <w:noProof/>
          <w:lang w:eastAsia="zh-CN"/>
        </w:rPr>
        <w:drawing>
          <wp:inline distT="0" distB="0" distL="0" distR="0" wp14:anchorId="07183605" wp14:editId="1E902BB0">
            <wp:extent cx="4559300" cy="3419475"/>
            <wp:effectExtent l="0" t="0" r="0" b="9525"/>
            <wp:docPr id="12" name="Picture 12" descr="X:\pensim_062216\pensim\build_modelgen\uma_10_xpol\UMA_RURAL_Pow_Compa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X:\pensim_062216\pensim\build_modelgen\uma_10_xpol\UMA_RURAL_Pow_Compare.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69552" cy="3427164"/>
                    </a:xfrm>
                    <a:prstGeom prst="rect">
                      <a:avLst/>
                    </a:prstGeom>
                    <a:noFill/>
                    <a:ln>
                      <a:noFill/>
                    </a:ln>
                  </pic:spPr>
                </pic:pic>
              </a:graphicData>
            </a:graphic>
          </wp:inline>
        </w:drawing>
      </w:r>
    </w:p>
    <w:p w14:paraId="7B8279BA" w14:textId="77777777" w:rsidR="00302C13" w:rsidRDefault="00302C13" w:rsidP="006B2467">
      <w:pPr>
        <w:pStyle w:val="Caption"/>
        <w:jc w:val="center"/>
      </w:pPr>
      <w:bookmarkStart w:id="9" w:name="_Ref450827334"/>
      <w:r>
        <w:t xml:space="preserve">Figure </w:t>
      </w:r>
      <w:fldSimple w:instr=" SEQ Figure \* ARABIC ">
        <w:r w:rsidR="00790C96">
          <w:rPr>
            <w:noProof/>
          </w:rPr>
          <w:t>4</w:t>
        </w:r>
      </w:fldSimple>
      <w:bookmarkEnd w:id="9"/>
      <w:r>
        <w:t>: CDF of UE SRS Tx Power over 20 MHz CC</w:t>
      </w:r>
      <w:r w:rsidR="005722DC">
        <w:t xml:space="preserve"> (SRS Target SNR (OLPC) = -5 dB)</w:t>
      </w:r>
    </w:p>
    <w:p w14:paraId="7B8279BB" w14:textId="6279E1F8" w:rsidR="00782920" w:rsidRDefault="007A0212" w:rsidP="006B2467">
      <w:pPr>
        <w:keepNext/>
        <w:jc w:val="center"/>
      </w:pPr>
      <w:r w:rsidRPr="007A0212">
        <w:rPr>
          <w:noProof/>
          <w:lang w:eastAsia="zh-CN"/>
        </w:rPr>
        <w:lastRenderedPageBreak/>
        <w:drawing>
          <wp:inline distT="0" distB="0" distL="0" distR="0" wp14:anchorId="02587B52" wp14:editId="576F4368">
            <wp:extent cx="4791075" cy="3581400"/>
            <wp:effectExtent l="0" t="0" r="9525" b="0"/>
            <wp:docPr id="17" name="Picture 17" descr="Y:\pentari_062216_full_buffer_numerology_comparison\uma_new_numerology_3gpp_xpol\iot_cdf_10_ue_per_cell_Mode2_3g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Y:\pentari_062216_full_buffer_numerology_comparison\uma_new_numerology_3gpp_xpol\iot_cdf_10_ue_per_cell_Mode2_3gpp.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91075" cy="3581400"/>
                    </a:xfrm>
                    <a:prstGeom prst="rect">
                      <a:avLst/>
                    </a:prstGeom>
                    <a:noFill/>
                    <a:ln>
                      <a:noFill/>
                    </a:ln>
                  </pic:spPr>
                </pic:pic>
              </a:graphicData>
            </a:graphic>
          </wp:inline>
        </w:drawing>
      </w:r>
    </w:p>
    <w:p w14:paraId="7B8279BC" w14:textId="77777777" w:rsidR="00782920" w:rsidRPr="006B2467" w:rsidRDefault="00782920" w:rsidP="006B2467">
      <w:pPr>
        <w:pStyle w:val="Caption"/>
        <w:jc w:val="center"/>
      </w:pPr>
      <w:bookmarkStart w:id="10" w:name="_Ref450921143"/>
      <w:r>
        <w:t xml:space="preserve">Figure </w:t>
      </w:r>
      <w:fldSimple w:instr=" SEQ Figure \* ARABIC ">
        <w:r w:rsidR="00790C96">
          <w:rPr>
            <w:noProof/>
          </w:rPr>
          <w:t>5</w:t>
        </w:r>
      </w:fldSimple>
      <w:bookmarkEnd w:id="10"/>
      <w:r>
        <w:t>: IOT CCDF</w:t>
      </w:r>
    </w:p>
    <w:p w14:paraId="7B8279BD" w14:textId="3104B9A4" w:rsidR="00A45249" w:rsidRDefault="0094463D" w:rsidP="00435840">
      <w:pPr>
        <w:rPr>
          <w:lang w:val="en-GB"/>
        </w:rPr>
      </w:pPr>
      <w:r>
        <w:rPr>
          <w:lang w:val="en-GB"/>
        </w:rPr>
        <w:fldChar w:fldCharType="begin"/>
      </w:r>
      <w:r>
        <w:rPr>
          <w:lang w:val="en-GB"/>
        </w:rPr>
        <w:instrText xml:space="preserve"> REF _Ref450823985 \h </w:instrText>
      </w:r>
      <w:r>
        <w:rPr>
          <w:lang w:val="en-GB"/>
        </w:rPr>
      </w:r>
      <w:r>
        <w:rPr>
          <w:lang w:val="en-GB"/>
        </w:rPr>
        <w:fldChar w:fldCharType="separate"/>
      </w:r>
      <w:r w:rsidR="00782920">
        <w:t xml:space="preserve">Figure </w:t>
      </w:r>
      <w:r w:rsidR="00782920">
        <w:rPr>
          <w:noProof/>
        </w:rPr>
        <w:t>6</w:t>
      </w:r>
      <w:r>
        <w:rPr>
          <w:lang w:val="en-GB"/>
        </w:rPr>
        <w:fldChar w:fldCharType="end"/>
      </w:r>
      <w:r>
        <w:rPr>
          <w:lang w:val="en-GB"/>
        </w:rPr>
        <w:t xml:space="preserve"> below shows the MU-MIMO performance</w:t>
      </w:r>
      <w:r w:rsidR="00C30799">
        <w:rPr>
          <w:lang w:val="en-GB"/>
        </w:rPr>
        <w:t xml:space="preserve"> </w:t>
      </w:r>
      <w:r>
        <w:rPr>
          <w:lang w:val="en-GB"/>
        </w:rPr>
        <w:t>for the dense-urban scenario</w:t>
      </w:r>
      <w:r w:rsidR="00A45249">
        <w:rPr>
          <w:lang w:val="en-GB"/>
        </w:rPr>
        <w:t>, along with the impact of DL and UL estimation errors on the performance</w:t>
      </w:r>
      <w:r w:rsidR="000250C2">
        <w:rPr>
          <w:lang w:val="en-GB"/>
        </w:rPr>
        <w:t>,</w:t>
      </w:r>
      <w:r w:rsidR="00790C96">
        <w:rPr>
          <w:lang w:val="en-GB"/>
        </w:rPr>
        <w:t xml:space="preserve"> over 200 MHz bandwidth.</w:t>
      </w:r>
      <w:r w:rsidR="002A6F89">
        <w:rPr>
          <w:lang w:val="en-GB"/>
        </w:rPr>
        <w:t xml:space="preserve"> </w:t>
      </w:r>
      <w:r w:rsidR="00550C48">
        <w:rPr>
          <w:lang w:val="en-GB"/>
        </w:rPr>
        <w:fldChar w:fldCharType="begin"/>
      </w:r>
      <w:r w:rsidR="00550C48">
        <w:rPr>
          <w:lang w:val="en-GB"/>
        </w:rPr>
        <w:instrText xml:space="preserve"> REF _Ref450824744 \h </w:instrText>
      </w:r>
      <w:r w:rsidR="00550C48">
        <w:rPr>
          <w:lang w:val="en-GB"/>
        </w:rPr>
      </w:r>
      <w:r w:rsidR="00550C48">
        <w:rPr>
          <w:lang w:val="en-GB"/>
        </w:rPr>
        <w:fldChar w:fldCharType="separate"/>
      </w:r>
      <w:r w:rsidR="000250C2">
        <w:t xml:space="preserve">Figure </w:t>
      </w:r>
      <w:r w:rsidR="000250C2">
        <w:rPr>
          <w:noProof/>
        </w:rPr>
        <w:t>7</w:t>
      </w:r>
      <w:r w:rsidR="00550C48">
        <w:rPr>
          <w:lang w:val="en-GB"/>
        </w:rPr>
        <w:fldChar w:fldCharType="end"/>
      </w:r>
      <w:r w:rsidR="00550C48">
        <w:rPr>
          <w:lang w:val="en-GB"/>
        </w:rPr>
        <w:t xml:space="preserve"> </w:t>
      </w:r>
      <w:r>
        <w:rPr>
          <w:lang w:val="en-GB"/>
        </w:rPr>
        <w:t xml:space="preserve">shows the rank distribution. The median </w:t>
      </w:r>
      <w:r w:rsidR="00E464E9">
        <w:rPr>
          <w:lang w:val="en-GB"/>
        </w:rPr>
        <w:t>rank chosen for MU-scenario is 7</w:t>
      </w:r>
      <w:r>
        <w:rPr>
          <w:lang w:val="en-GB"/>
        </w:rPr>
        <w:t xml:space="preserve">. </w:t>
      </w:r>
    </w:p>
    <w:p w14:paraId="7B8279BE" w14:textId="63250567" w:rsidR="00790C96" w:rsidRDefault="00C30799" w:rsidP="00790C96">
      <w:pPr>
        <w:keepNext/>
        <w:jc w:val="center"/>
      </w:pPr>
      <w:r w:rsidRPr="00C30799">
        <w:rPr>
          <w:noProof/>
          <w:lang w:eastAsia="zh-CN"/>
        </w:rPr>
        <w:drawing>
          <wp:inline distT="0" distB="0" distL="0" distR="0" wp14:anchorId="12ABB352" wp14:editId="77ED3C08">
            <wp:extent cx="5162550" cy="3829050"/>
            <wp:effectExtent l="0" t="0" r="0" b="0"/>
            <wp:docPr id="15" name="Picture 15" descr="Y:\pentari_062216_full_buffer_numerology_comparison\uma_new_numerology_3gpp_xpol\tput_cdf_10_ue_per_cell_Mode2_3g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Y:\pentari_062216_full_buffer_numerology_comparison\uma_new_numerology_3gpp_xpol\tput_cdf_10_ue_per_cell_Mode2_3gpp.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62550" cy="3829050"/>
                    </a:xfrm>
                    <a:prstGeom prst="rect">
                      <a:avLst/>
                    </a:prstGeom>
                    <a:noFill/>
                    <a:ln>
                      <a:noFill/>
                    </a:ln>
                  </pic:spPr>
                </pic:pic>
              </a:graphicData>
            </a:graphic>
          </wp:inline>
        </w:drawing>
      </w:r>
    </w:p>
    <w:p w14:paraId="7B8279BF" w14:textId="77777777" w:rsidR="00790C96" w:rsidRPr="00790C96" w:rsidRDefault="00790C96" w:rsidP="00790C96">
      <w:pPr>
        <w:pStyle w:val="Caption"/>
        <w:jc w:val="center"/>
      </w:pPr>
      <w:bookmarkStart w:id="11" w:name="_Ref450938181"/>
      <w:r>
        <w:t xml:space="preserve">Figure </w:t>
      </w:r>
      <w:fldSimple w:instr=" SEQ Figure \* ARABIC ">
        <w:r w:rsidR="000250C2">
          <w:rPr>
            <w:noProof/>
          </w:rPr>
          <w:t>6</w:t>
        </w:r>
      </w:fldSimple>
      <w:bookmarkEnd w:id="11"/>
      <w:r>
        <w:t>:</w:t>
      </w:r>
      <w:r w:rsidRPr="00790C96">
        <w:t xml:space="preserve"> </w:t>
      </w:r>
      <w:r>
        <w:t>UE Throughput CDFs (Dense-Urban) scaled to 200 MHz</w:t>
      </w:r>
    </w:p>
    <w:p w14:paraId="7B8279C0" w14:textId="3B9E5259" w:rsidR="00550C48" w:rsidRDefault="00C30799" w:rsidP="006B2467">
      <w:pPr>
        <w:keepNext/>
        <w:jc w:val="center"/>
      </w:pPr>
      <w:r w:rsidRPr="00C30799">
        <w:rPr>
          <w:noProof/>
          <w:lang w:eastAsia="zh-CN"/>
        </w:rPr>
        <w:lastRenderedPageBreak/>
        <w:drawing>
          <wp:inline distT="0" distB="0" distL="0" distR="0" wp14:anchorId="0CEC3C67" wp14:editId="1304C44B">
            <wp:extent cx="5095875" cy="3821906"/>
            <wp:effectExtent l="0" t="0" r="0" b="7620"/>
            <wp:docPr id="16" name="Picture 16" descr="Y:\pentari_062216_full_buffer_numerology_comparison\uma_new_numerology_3gpp_xpol\rank_cdf_10_ue_per_cell_Mode2_3g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Y:\pentari_062216_full_buffer_numerology_comparison\uma_new_numerology_3gpp_xpol\rank_cdf_10_ue_per_cell_Mode2_3gpp.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97970" cy="3823477"/>
                    </a:xfrm>
                    <a:prstGeom prst="rect">
                      <a:avLst/>
                    </a:prstGeom>
                    <a:noFill/>
                    <a:ln>
                      <a:noFill/>
                    </a:ln>
                  </pic:spPr>
                </pic:pic>
              </a:graphicData>
            </a:graphic>
          </wp:inline>
        </w:drawing>
      </w:r>
    </w:p>
    <w:p w14:paraId="7B8279C1" w14:textId="77777777" w:rsidR="0094463D" w:rsidRDefault="00550C48" w:rsidP="006B2467">
      <w:pPr>
        <w:pStyle w:val="Caption"/>
        <w:jc w:val="center"/>
        <w:rPr>
          <w:lang w:val="en-GB"/>
        </w:rPr>
      </w:pPr>
      <w:bookmarkStart w:id="12" w:name="_Ref450824744"/>
      <w:r>
        <w:t xml:space="preserve">Figure </w:t>
      </w:r>
      <w:fldSimple w:instr=" SEQ Figure \* ARABIC ">
        <w:r w:rsidR="000250C2">
          <w:rPr>
            <w:noProof/>
          </w:rPr>
          <w:t>7</w:t>
        </w:r>
      </w:fldSimple>
      <w:bookmarkEnd w:id="12"/>
      <w:r>
        <w:t xml:space="preserve">: CDF </w:t>
      </w:r>
      <w:r>
        <w:rPr>
          <w:noProof/>
        </w:rPr>
        <w:t>of Total Rank at BS</w:t>
      </w:r>
      <w:r w:rsidR="001412C2">
        <w:rPr>
          <w:noProof/>
        </w:rPr>
        <w:t xml:space="preserve"> (Dense-Urban)</w:t>
      </w:r>
      <w:r w:rsidR="002A6F89">
        <w:rPr>
          <w:noProof/>
        </w:rPr>
        <w:t xml:space="preserve"> (200 MHz)</w:t>
      </w:r>
    </w:p>
    <w:p w14:paraId="7B8279C2" w14:textId="68C7B986" w:rsidR="004863E3" w:rsidRDefault="0094463D" w:rsidP="00435840">
      <w:pPr>
        <w:rPr>
          <w:lang w:val="en-GB"/>
        </w:rPr>
      </w:pPr>
      <w:r>
        <w:rPr>
          <w:lang w:val="en-GB"/>
        </w:rPr>
        <w:t xml:space="preserve">Similarly, </w:t>
      </w:r>
      <w:r w:rsidR="001412C2">
        <w:rPr>
          <w:lang w:val="en-GB"/>
        </w:rPr>
        <w:fldChar w:fldCharType="begin"/>
      </w:r>
      <w:r w:rsidR="001412C2">
        <w:rPr>
          <w:lang w:val="en-GB"/>
        </w:rPr>
        <w:instrText xml:space="preserve"> REF _Ref450826154 \h </w:instrText>
      </w:r>
      <w:r w:rsidR="001412C2">
        <w:rPr>
          <w:lang w:val="en-GB"/>
        </w:rPr>
      </w:r>
      <w:r w:rsidR="001412C2">
        <w:rPr>
          <w:lang w:val="en-GB"/>
        </w:rPr>
        <w:fldChar w:fldCharType="separate"/>
      </w:r>
      <w:r w:rsidR="000250C2">
        <w:t xml:space="preserve">Figure </w:t>
      </w:r>
      <w:r w:rsidR="000250C2">
        <w:rPr>
          <w:noProof/>
        </w:rPr>
        <w:t>8</w:t>
      </w:r>
      <w:r w:rsidR="001412C2">
        <w:rPr>
          <w:lang w:val="en-GB"/>
        </w:rPr>
        <w:fldChar w:fldCharType="end"/>
      </w:r>
      <w:r>
        <w:rPr>
          <w:lang w:val="en-GB"/>
        </w:rPr>
        <w:t xml:space="preserve"> below show</w:t>
      </w:r>
      <w:r w:rsidR="001412C2">
        <w:rPr>
          <w:lang w:val="en-GB"/>
        </w:rPr>
        <w:t>s</w:t>
      </w:r>
      <w:r>
        <w:rPr>
          <w:lang w:val="en-GB"/>
        </w:rPr>
        <w:t xml:space="preserve"> the throughput </w:t>
      </w:r>
      <w:r w:rsidR="001412C2">
        <w:rPr>
          <w:lang w:val="en-GB"/>
        </w:rPr>
        <w:t xml:space="preserve">distribution for the </w:t>
      </w:r>
      <w:proofErr w:type="gramStart"/>
      <w:r>
        <w:rPr>
          <w:lang w:val="en-GB"/>
        </w:rPr>
        <w:t>Rural</w:t>
      </w:r>
      <w:proofErr w:type="gramEnd"/>
      <w:r>
        <w:rPr>
          <w:lang w:val="en-GB"/>
        </w:rPr>
        <w:t xml:space="preserve"> scenario.</w:t>
      </w:r>
      <w:r w:rsidR="009A30A4">
        <w:rPr>
          <w:lang w:val="en-GB"/>
        </w:rPr>
        <w:t xml:space="preserve"> Due to high D</w:t>
      </w:r>
      <w:r w:rsidR="00A87027">
        <w:rPr>
          <w:lang w:val="en-GB"/>
        </w:rPr>
        <w:t>oppler for the outdoor UEs</w:t>
      </w:r>
      <w:r w:rsidR="004863E3">
        <w:rPr>
          <w:lang w:val="en-GB"/>
        </w:rPr>
        <w:t>, and power-limited UL for indoor UEs</w:t>
      </w:r>
      <w:r w:rsidR="00A87027">
        <w:rPr>
          <w:lang w:val="en-GB"/>
        </w:rPr>
        <w:t>, significant loss is observed due to UL and DL estimation errors.</w:t>
      </w:r>
    </w:p>
    <w:p w14:paraId="7B8279C3" w14:textId="77777777" w:rsidR="00610204" w:rsidRDefault="0094463D" w:rsidP="00435840">
      <w:pPr>
        <w:rPr>
          <w:lang w:val="en-GB"/>
        </w:rPr>
      </w:pPr>
      <w:r>
        <w:rPr>
          <w:lang w:val="en-GB"/>
        </w:rPr>
        <w:t xml:space="preserve"> </w:t>
      </w:r>
      <w:r w:rsidR="001412C2">
        <w:rPr>
          <w:lang w:val="en-GB"/>
        </w:rPr>
        <w:fldChar w:fldCharType="begin"/>
      </w:r>
      <w:r w:rsidR="001412C2">
        <w:rPr>
          <w:lang w:val="en-GB"/>
        </w:rPr>
        <w:instrText xml:space="preserve"> REF _Ref450826178 \h </w:instrText>
      </w:r>
      <w:r w:rsidR="001412C2">
        <w:rPr>
          <w:lang w:val="en-GB"/>
        </w:rPr>
      </w:r>
      <w:r w:rsidR="001412C2">
        <w:rPr>
          <w:lang w:val="en-GB"/>
        </w:rPr>
        <w:fldChar w:fldCharType="separate"/>
      </w:r>
      <w:r w:rsidR="000250C2">
        <w:t xml:space="preserve">Figure </w:t>
      </w:r>
      <w:r w:rsidR="000250C2">
        <w:rPr>
          <w:noProof/>
        </w:rPr>
        <w:t>9</w:t>
      </w:r>
      <w:r w:rsidR="001412C2">
        <w:rPr>
          <w:lang w:val="en-GB"/>
        </w:rPr>
        <w:fldChar w:fldCharType="end"/>
      </w:r>
      <w:r w:rsidR="001412C2">
        <w:rPr>
          <w:lang w:val="en-GB"/>
        </w:rPr>
        <w:t xml:space="preserve"> shows the CDF of the </w:t>
      </w:r>
      <w:r w:rsidR="009A30A4">
        <w:rPr>
          <w:lang w:val="en-GB"/>
        </w:rPr>
        <w:t>t</w:t>
      </w:r>
      <w:r w:rsidR="001412C2">
        <w:rPr>
          <w:lang w:val="en-GB"/>
        </w:rPr>
        <w:t xml:space="preserve">otal </w:t>
      </w:r>
      <w:r w:rsidR="009A30A4">
        <w:rPr>
          <w:lang w:val="en-GB"/>
        </w:rPr>
        <w:t>r</w:t>
      </w:r>
      <w:r w:rsidR="001412C2">
        <w:rPr>
          <w:lang w:val="en-GB"/>
        </w:rPr>
        <w:t xml:space="preserve">ank used at the BS. </w:t>
      </w:r>
      <w:r>
        <w:rPr>
          <w:lang w:val="en-GB"/>
        </w:rPr>
        <w:t xml:space="preserve">The throughput </w:t>
      </w:r>
      <w:r w:rsidR="00A87027">
        <w:rPr>
          <w:lang w:val="en-GB"/>
        </w:rPr>
        <w:t xml:space="preserve">and </w:t>
      </w:r>
      <w:r>
        <w:rPr>
          <w:lang w:val="en-GB"/>
        </w:rPr>
        <w:t>rank chosen</w:t>
      </w:r>
      <w:r w:rsidR="00A87027">
        <w:rPr>
          <w:lang w:val="en-GB"/>
        </w:rPr>
        <w:t xml:space="preserve"> are both lower than in the dense-urban case</w:t>
      </w:r>
      <w:r>
        <w:rPr>
          <w:lang w:val="en-GB"/>
        </w:rPr>
        <w:t>.</w:t>
      </w:r>
      <w:r w:rsidR="00610204">
        <w:rPr>
          <w:lang w:val="en-GB"/>
        </w:rPr>
        <w:t xml:space="preserve"> </w:t>
      </w:r>
    </w:p>
    <w:p w14:paraId="7B8279C4" w14:textId="5BC07130" w:rsidR="001412C2" w:rsidRDefault="007C27E0" w:rsidP="006B2467">
      <w:pPr>
        <w:keepNext/>
        <w:jc w:val="center"/>
      </w:pPr>
      <w:r w:rsidRPr="007C27E0">
        <w:rPr>
          <w:noProof/>
          <w:lang w:eastAsia="zh-CN"/>
        </w:rPr>
        <w:lastRenderedPageBreak/>
        <w:drawing>
          <wp:inline distT="0" distB="0" distL="0" distR="0" wp14:anchorId="0C2743A0" wp14:editId="11F4146E">
            <wp:extent cx="5295900" cy="3838575"/>
            <wp:effectExtent l="0" t="0" r="0" b="9525"/>
            <wp:docPr id="1" name="Picture 1" descr="Y:\pentari_062216_full_buffer_numerology_comparison\rural_new_numerology_3gpp_xpol_theta_01_wishart_24\tput_cdf_10_ue_per_cell_Mode2_3g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pentari_062216_full_buffer_numerology_comparison\rural_new_numerology_3gpp_xpol_theta_01_wishart_24\tput_cdf_10_ue_per_cell_Mode2_3gpp.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95900" cy="3838575"/>
                    </a:xfrm>
                    <a:prstGeom prst="rect">
                      <a:avLst/>
                    </a:prstGeom>
                    <a:noFill/>
                    <a:ln>
                      <a:noFill/>
                    </a:ln>
                  </pic:spPr>
                </pic:pic>
              </a:graphicData>
            </a:graphic>
          </wp:inline>
        </w:drawing>
      </w:r>
    </w:p>
    <w:p w14:paraId="7B8279C5" w14:textId="77777777" w:rsidR="00456CFF" w:rsidRDefault="001412C2" w:rsidP="006B2467">
      <w:pPr>
        <w:pStyle w:val="Caption"/>
        <w:jc w:val="center"/>
      </w:pPr>
      <w:bookmarkStart w:id="13" w:name="_Ref450826154"/>
      <w:r>
        <w:t xml:space="preserve">Figure </w:t>
      </w:r>
      <w:fldSimple w:instr=" SEQ Figure \* ARABIC ">
        <w:r w:rsidR="000250C2">
          <w:rPr>
            <w:noProof/>
          </w:rPr>
          <w:t>8</w:t>
        </w:r>
      </w:fldSimple>
      <w:bookmarkEnd w:id="13"/>
      <w:r>
        <w:t>: UE Throughput CDFs (Rural)</w:t>
      </w:r>
      <w:r w:rsidR="00650DAC">
        <w:t xml:space="preserve"> scaled to 80 MHz</w:t>
      </w:r>
    </w:p>
    <w:p w14:paraId="7B8279C6" w14:textId="51C02CF3" w:rsidR="001412C2" w:rsidRDefault="007C27E0" w:rsidP="006B2467">
      <w:pPr>
        <w:keepNext/>
        <w:jc w:val="center"/>
      </w:pPr>
      <w:r w:rsidRPr="007C27E0">
        <w:rPr>
          <w:noProof/>
          <w:lang w:eastAsia="zh-CN"/>
        </w:rPr>
        <w:drawing>
          <wp:inline distT="0" distB="0" distL="0" distR="0" wp14:anchorId="75ABB4B4" wp14:editId="77B40F69">
            <wp:extent cx="5334000" cy="4000500"/>
            <wp:effectExtent l="0" t="0" r="0" b="0"/>
            <wp:docPr id="3" name="Picture 3" descr="Y:\pentari_062216_full_buffer_numerology_comparison\rural_new_numerology_3gpp_xpol_theta_01_wishart_24\rank_cdf_10_ue_per_cell_Mode2_3g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Y:\pentari_062216_full_buffer_numerology_comparison\rural_new_numerology_3gpp_xpol_theta_01_wishart_24\rank_cdf_10_ue_per_cell_Mode2_3gpp.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7B8279C7" w14:textId="77777777" w:rsidR="001412C2" w:rsidRDefault="001412C2" w:rsidP="006B2467">
      <w:pPr>
        <w:pStyle w:val="Caption"/>
        <w:jc w:val="center"/>
        <w:rPr>
          <w:noProof/>
        </w:rPr>
      </w:pPr>
      <w:bookmarkStart w:id="14" w:name="_Ref450826178"/>
      <w:r>
        <w:t xml:space="preserve">Figure </w:t>
      </w:r>
      <w:fldSimple w:instr=" SEQ Figure \* ARABIC ">
        <w:r w:rsidR="000250C2">
          <w:rPr>
            <w:noProof/>
          </w:rPr>
          <w:t>9</w:t>
        </w:r>
      </w:fldSimple>
      <w:bookmarkEnd w:id="14"/>
      <w:r>
        <w:t xml:space="preserve">: CDF </w:t>
      </w:r>
      <w:r>
        <w:rPr>
          <w:noProof/>
        </w:rPr>
        <w:t>of Total BS Rank (Rural)</w:t>
      </w:r>
      <w:r w:rsidR="005D5B0E">
        <w:rPr>
          <w:noProof/>
        </w:rPr>
        <w:t xml:space="preserve"> (80 MHz)</w:t>
      </w:r>
    </w:p>
    <w:p w14:paraId="7B8279C8" w14:textId="77777777" w:rsidR="00610204" w:rsidRDefault="00610204" w:rsidP="006B2467">
      <w:pPr>
        <w:keepNext/>
        <w:jc w:val="center"/>
      </w:pPr>
    </w:p>
    <w:p w14:paraId="7B8279C9" w14:textId="77777777" w:rsidR="0039661D" w:rsidRDefault="0039661D" w:rsidP="00435840">
      <w:pPr>
        <w:rPr>
          <w:lang w:val="en-GB"/>
        </w:rPr>
      </w:pPr>
    </w:p>
    <w:p w14:paraId="7B8279CA" w14:textId="77777777" w:rsidR="00435840" w:rsidRDefault="00435840" w:rsidP="00435840">
      <w:pPr>
        <w:rPr>
          <w:lang w:val="en-GB"/>
        </w:rPr>
      </w:pPr>
    </w:p>
    <w:p w14:paraId="7B8279CB" w14:textId="77777777" w:rsidR="0015366A" w:rsidRDefault="0015366A" w:rsidP="000772F9">
      <w:pPr>
        <w:rPr>
          <w:lang w:val="en-GB"/>
        </w:rPr>
      </w:pPr>
      <w:r w:rsidRPr="0015366A">
        <w:rPr>
          <w:b/>
          <w:lang w:val="en-GB"/>
        </w:rPr>
        <w:t>Proposal</w:t>
      </w:r>
      <w:r>
        <w:rPr>
          <w:b/>
          <w:lang w:val="en-GB"/>
        </w:rPr>
        <w:t xml:space="preserve"> 1</w:t>
      </w:r>
      <w:r>
        <w:rPr>
          <w:lang w:val="en-GB"/>
        </w:rPr>
        <w:t>: Consider MU-MIMO for DL spectral efficiency evaluation in NR.</w:t>
      </w:r>
    </w:p>
    <w:p w14:paraId="7B8279CC" w14:textId="77777777" w:rsidR="0015366A" w:rsidRDefault="0015366A" w:rsidP="0015366A">
      <w:pPr>
        <w:rPr>
          <w:lang w:val="en-GB"/>
        </w:rPr>
      </w:pPr>
      <w:r w:rsidRPr="0015366A">
        <w:rPr>
          <w:b/>
          <w:lang w:val="en-GB"/>
        </w:rPr>
        <w:t>Proposal</w:t>
      </w:r>
      <w:r>
        <w:rPr>
          <w:b/>
          <w:lang w:val="en-GB"/>
        </w:rPr>
        <w:t xml:space="preserve"> 2</w:t>
      </w:r>
      <w:r>
        <w:rPr>
          <w:lang w:val="en-GB"/>
        </w:rPr>
        <w:t>: Consider SRS-based CSI feedback for NR massive MIMO system.</w:t>
      </w:r>
    </w:p>
    <w:p w14:paraId="7B8279CD" w14:textId="77777777" w:rsidR="0015366A" w:rsidRPr="00E95FC5" w:rsidRDefault="0015366A" w:rsidP="000772F9">
      <w:pPr>
        <w:rPr>
          <w:lang w:val="en-GB"/>
        </w:rPr>
      </w:pPr>
    </w:p>
    <w:p w14:paraId="7B8279CE" w14:textId="77777777" w:rsidR="00BA293D" w:rsidRDefault="00BA293D" w:rsidP="00346F64">
      <w:pPr>
        <w:rPr>
          <w:lang w:val="en-GB"/>
        </w:rPr>
      </w:pPr>
    </w:p>
    <w:p w14:paraId="7B8279CF" w14:textId="77777777" w:rsidR="00F95A7C" w:rsidRDefault="00F95A7C" w:rsidP="00F95A7C">
      <w:pPr>
        <w:pStyle w:val="Heading1"/>
        <w:jc w:val="both"/>
      </w:pPr>
      <w:r>
        <w:t>4</w:t>
      </w:r>
      <w:r w:rsidRPr="00E05A22">
        <w:tab/>
        <w:t xml:space="preserve">Conclusions </w:t>
      </w:r>
    </w:p>
    <w:p w14:paraId="7B8279D0" w14:textId="19DAEDB9" w:rsidR="0015366A" w:rsidRDefault="0015366A" w:rsidP="0015366A">
      <w:pPr>
        <w:rPr>
          <w:lang w:val="en-GB"/>
        </w:rPr>
      </w:pPr>
      <w:r>
        <w:rPr>
          <w:lang w:val="en-GB"/>
        </w:rPr>
        <w:t xml:space="preserve">In this contribution, we </w:t>
      </w:r>
      <w:r w:rsidR="002F0C61">
        <w:rPr>
          <w:lang w:val="en-GB"/>
        </w:rPr>
        <w:t xml:space="preserve">evaluated the </w:t>
      </w:r>
      <w:r w:rsidR="000E68F0">
        <w:rPr>
          <w:lang w:val="en-GB"/>
        </w:rPr>
        <w:t xml:space="preserve">DL spectral efficiency at 4GHz for NR “dense urban” and “rural macro” evaluation scenarios. It was </w:t>
      </w:r>
      <w:r w:rsidR="00BB232E">
        <w:rPr>
          <w:lang w:val="en-GB"/>
        </w:rPr>
        <w:t>observed</w:t>
      </w:r>
      <w:r w:rsidR="000E68F0">
        <w:rPr>
          <w:lang w:val="en-GB"/>
        </w:rPr>
        <w:t xml:space="preserve"> that NR could achieve 3x LTE-advanced spectral efficiency </w:t>
      </w:r>
      <w:r w:rsidR="00782548">
        <w:rPr>
          <w:lang w:val="en-GB"/>
        </w:rPr>
        <w:t xml:space="preserve">requirement. </w:t>
      </w:r>
      <w:r w:rsidR="000E68F0">
        <w:rPr>
          <w:lang w:val="en-GB"/>
        </w:rPr>
        <w:t xml:space="preserve">Based on our evaluation, we recommend the group to consider following </w:t>
      </w:r>
      <w:r w:rsidR="00BB232E">
        <w:rPr>
          <w:lang w:val="en-GB"/>
        </w:rPr>
        <w:t>proposals</w:t>
      </w:r>
      <w:r w:rsidR="000E68F0">
        <w:rPr>
          <w:lang w:val="en-GB"/>
        </w:rPr>
        <w:t>:</w:t>
      </w:r>
    </w:p>
    <w:p w14:paraId="7B8279D1" w14:textId="77777777" w:rsidR="000E68F0" w:rsidRDefault="000E68F0" w:rsidP="000E68F0">
      <w:pPr>
        <w:rPr>
          <w:lang w:val="en-GB"/>
        </w:rPr>
      </w:pPr>
      <w:r w:rsidRPr="0015366A">
        <w:rPr>
          <w:b/>
          <w:lang w:val="en-GB"/>
        </w:rPr>
        <w:t>Proposal</w:t>
      </w:r>
      <w:r>
        <w:rPr>
          <w:b/>
          <w:lang w:val="en-GB"/>
        </w:rPr>
        <w:t xml:space="preserve"> 1</w:t>
      </w:r>
      <w:r>
        <w:rPr>
          <w:lang w:val="en-GB"/>
        </w:rPr>
        <w:t>: Consider MU-MIMO for DL spectral efficiency evaluation in NR.</w:t>
      </w:r>
    </w:p>
    <w:p w14:paraId="7B8279D2" w14:textId="77777777" w:rsidR="000E68F0" w:rsidRDefault="000E68F0" w:rsidP="000E68F0">
      <w:pPr>
        <w:rPr>
          <w:lang w:val="en-GB"/>
        </w:rPr>
      </w:pPr>
      <w:r w:rsidRPr="0015366A">
        <w:rPr>
          <w:b/>
          <w:lang w:val="en-GB"/>
        </w:rPr>
        <w:t>Proposal</w:t>
      </w:r>
      <w:r>
        <w:rPr>
          <w:b/>
          <w:lang w:val="en-GB"/>
        </w:rPr>
        <w:t xml:space="preserve"> 2</w:t>
      </w:r>
      <w:r>
        <w:rPr>
          <w:lang w:val="en-GB"/>
        </w:rPr>
        <w:t>: Consider SRS-based CSI feedback for NR massive MIMO system.</w:t>
      </w:r>
    </w:p>
    <w:p w14:paraId="7B8279D3" w14:textId="77777777" w:rsidR="00F95A7C" w:rsidRDefault="00F95A7C" w:rsidP="00346F64">
      <w:pPr>
        <w:rPr>
          <w:lang w:val="en-GB"/>
        </w:rPr>
      </w:pPr>
    </w:p>
    <w:p w14:paraId="7B8279D4" w14:textId="338FEA54" w:rsidR="006E10F6" w:rsidRPr="00014A52" w:rsidRDefault="00014A52" w:rsidP="00014A52">
      <w:pPr>
        <w:pStyle w:val="Heading1"/>
        <w:jc w:val="both"/>
      </w:pPr>
      <w:r w:rsidRPr="00014A52">
        <w:t>5.</w:t>
      </w:r>
      <w:r w:rsidRPr="00014A52">
        <w:tab/>
      </w:r>
      <w:r w:rsidR="006E10F6" w:rsidRPr="00014A52">
        <w:t>References</w:t>
      </w:r>
    </w:p>
    <w:p w14:paraId="7B8279D5" w14:textId="77777777" w:rsidR="00A6390B" w:rsidRPr="005C5969" w:rsidRDefault="00A6390B" w:rsidP="00A6390B">
      <w:pPr>
        <w:pStyle w:val="References"/>
        <w:numPr>
          <w:ilvl w:val="0"/>
          <w:numId w:val="15"/>
        </w:numPr>
        <w:snapToGrid/>
        <w:spacing w:after="80"/>
        <w:jc w:val="left"/>
        <w:rPr>
          <w:rFonts w:ascii="Times New Roman" w:hAnsi="Times New Roman"/>
          <w:sz w:val="20"/>
          <w:lang w:val="en-GB"/>
        </w:rPr>
      </w:pPr>
      <w:r w:rsidRPr="005C5969">
        <w:rPr>
          <w:rFonts w:ascii="Times New Roman" w:hAnsi="Times New Roman"/>
          <w:sz w:val="20"/>
          <w:lang w:val="en-GB"/>
        </w:rPr>
        <w:t>R1-163887,</w:t>
      </w:r>
      <w:r w:rsidRPr="005C5969">
        <w:rPr>
          <w:rFonts w:ascii="Times New Roman" w:hAnsi="Times New Roman"/>
          <w:sz w:val="20"/>
          <w:lang w:val="en-GB"/>
        </w:rPr>
        <w:tab/>
        <w:t>“Updated summary of evaluation assumptions for NR”, CMCC</w:t>
      </w:r>
    </w:p>
    <w:p w14:paraId="7063A0C2" w14:textId="6D5A56C9" w:rsidR="00025018" w:rsidRPr="005C5969" w:rsidRDefault="00025018" w:rsidP="006E10F6">
      <w:pPr>
        <w:pStyle w:val="References"/>
        <w:numPr>
          <w:ilvl w:val="0"/>
          <w:numId w:val="15"/>
        </w:numPr>
        <w:snapToGrid/>
        <w:spacing w:after="80"/>
        <w:jc w:val="left"/>
        <w:rPr>
          <w:rFonts w:ascii="Times New Roman" w:hAnsi="Times New Roman"/>
          <w:sz w:val="20"/>
          <w:lang w:val="en-GB"/>
        </w:rPr>
      </w:pPr>
      <w:r w:rsidRPr="005C5969">
        <w:rPr>
          <w:rFonts w:ascii="Times New Roman" w:hAnsi="Times New Roman"/>
          <w:sz w:val="20"/>
          <w:lang w:val="en-GB"/>
        </w:rPr>
        <w:t>R1-164675, “Initial DL KPI evaluation for eMBB”, Qualcomm Incorporated</w:t>
      </w:r>
    </w:p>
    <w:p w14:paraId="7B8279D6" w14:textId="77777777" w:rsidR="006E10F6" w:rsidRPr="005C5969" w:rsidRDefault="006E10F6" w:rsidP="006E10F6">
      <w:pPr>
        <w:pStyle w:val="References"/>
        <w:numPr>
          <w:ilvl w:val="0"/>
          <w:numId w:val="15"/>
        </w:numPr>
        <w:snapToGrid/>
        <w:spacing w:after="80"/>
        <w:jc w:val="left"/>
        <w:rPr>
          <w:rFonts w:ascii="Times New Roman" w:hAnsi="Times New Roman"/>
          <w:sz w:val="20"/>
          <w:lang w:val="en-GB"/>
        </w:rPr>
      </w:pPr>
      <w:r w:rsidRPr="005C5969">
        <w:rPr>
          <w:rFonts w:ascii="Times New Roman" w:eastAsia="Malgun Gothic" w:hAnsi="Times New Roman"/>
          <w:sz w:val="20"/>
        </w:rPr>
        <w:t>RP-160671, WID, “Study on NR New Radio Access Technology”, NTT DOCOMO</w:t>
      </w:r>
    </w:p>
    <w:p w14:paraId="07B331D7" w14:textId="27A8C4EC" w:rsidR="000B300E" w:rsidRPr="005C5969" w:rsidRDefault="000B300E" w:rsidP="006E10F6">
      <w:pPr>
        <w:pStyle w:val="References"/>
        <w:numPr>
          <w:ilvl w:val="0"/>
          <w:numId w:val="15"/>
        </w:numPr>
        <w:snapToGrid/>
        <w:spacing w:after="80"/>
        <w:jc w:val="left"/>
        <w:rPr>
          <w:rFonts w:ascii="Times New Roman" w:hAnsi="Times New Roman"/>
          <w:sz w:val="20"/>
          <w:lang w:val="en-GB"/>
        </w:rPr>
      </w:pPr>
      <w:r w:rsidRPr="005C5969">
        <w:rPr>
          <w:rFonts w:ascii="Times New Roman" w:hAnsi="Times New Roman"/>
          <w:sz w:val="20"/>
          <w:lang w:val="en-GB"/>
        </w:rPr>
        <w:t>R1-111031, “On advanced UE MMSE receiver modelling in system simulations”.</w:t>
      </w:r>
    </w:p>
    <w:sectPr w:rsidR="000B300E" w:rsidRPr="005C5969" w:rsidSect="00E054B7">
      <w:headerReference w:type="even" r:id="rId25"/>
      <w:footerReference w:type="even" r:id="rId26"/>
      <w:footerReference w:type="default" r:id="rId2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5F7108" w14:textId="77777777" w:rsidR="00282DA8" w:rsidRDefault="00282DA8">
      <w:r>
        <w:separator/>
      </w:r>
    </w:p>
  </w:endnote>
  <w:endnote w:type="continuationSeparator" w:id="0">
    <w:p w14:paraId="0BAEDF0A" w14:textId="77777777" w:rsidR="00282DA8" w:rsidRDefault="00282DA8">
      <w:r>
        <w:continuationSeparator/>
      </w:r>
    </w:p>
  </w:endnote>
  <w:endnote w:type="continuationNotice" w:id="1">
    <w:p w14:paraId="32262892" w14:textId="77777777" w:rsidR="00282DA8" w:rsidRDefault="00282D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279F0" w14:textId="77777777" w:rsidR="004A5312" w:rsidRDefault="004A531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B8279F1" w14:textId="77777777" w:rsidR="004A5312" w:rsidRDefault="004A531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279F2" w14:textId="77777777" w:rsidR="004A5312" w:rsidRDefault="004A531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2187D">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2187D">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06A285" w14:textId="77777777" w:rsidR="00282DA8" w:rsidRDefault="00282DA8">
      <w:r>
        <w:separator/>
      </w:r>
    </w:p>
  </w:footnote>
  <w:footnote w:type="continuationSeparator" w:id="0">
    <w:p w14:paraId="5E2D0DB2" w14:textId="77777777" w:rsidR="00282DA8" w:rsidRDefault="00282DA8">
      <w:r>
        <w:continuationSeparator/>
      </w:r>
    </w:p>
  </w:footnote>
  <w:footnote w:type="continuationNotice" w:id="1">
    <w:p w14:paraId="3CB430E8" w14:textId="77777777" w:rsidR="00282DA8" w:rsidRDefault="00282DA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279EF" w14:textId="77777777" w:rsidR="004A5312" w:rsidRDefault="004A531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D1E2C"/>
    <w:multiLevelType w:val="hybridMultilevel"/>
    <w:tmpl w:val="6B565D48"/>
    <w:lvl w:ilvl="0" w:tplc="23221738">
      <w:start w:val="1"/>
      <w:numFmt w:val="bullet"/>
      <w:lvlText w:val="–"/>
      <w:lvlJc w:val="left"/>
      <w:pPr>
        <w:tabs>
          <w:tab w:val="num" w:pos="720"/>
        </w:tabs>
        <w:ind w:left="720" w:hanging="360"/>
      </w:pPr>
      <w:rPr>
        <w:rFonts w:ascii="Arial" w:hAnsi="Arial" w:hint="default"/>
      </w:rPr>
    </w:lvl>
    <w:lvl w:ilvl="1" w:tplc="1AE4DB24">
      <w:start w:val="1"/>
      <w:numFmt w:val="bullet"/>
      <w:lvlText w:val="–"/>
      <w:lvlJc w:val="left"/>
      <w:pPr>
        <w:tabs>
          <w:tab w:val="num" w:pos="1440"/>
        </w:tabs>
        <w:ind w:left="1440" w:hanging="360"/>
      </w:pPr>
      <w:rPr>
        <w:rFonts w:ascii="Arial" w:hAnsi="Arial" w:hint="default"/>
      </w:rPr>
    </w:lvl>
    <w:lvl w:ilvl="2" w:tplc="A5809452" w:tentative="1">
      <w:start w:val="1"/>
      <w:numFmt w:val="bullet"/>
      <w:lvlText w:val="–"/>
      <w:lvlJc w:val="left"/>
      <w:pPr>
        <w:tabs>
          <w:tab w:val="num" w:pos="2160"/>
        </w:tabs>
        <w:ind w:left="2160" w:hanging="360"/>
      </w:pPr>
      <w:rPr>
        <w:rFonts w:ascii="Arial" w:hAnsi="Arial" w:hint="default"/>
      </w:rPr>
    </w:lvl>
    <w:lvl w:ilvl="3" w:tplc="8FF2C248" w:tentative="1">
      <w:start w:val="1"/>
      <w:numFmt w:val="bullet"/>
      <w:lvlText w:val="–"/>
      <w:lvlJc w:val="left"/>
      <w:pPr>
        <w:tabs>
          <w:tab w:val="num" w:pos="2880"/>
        </w:tabs>
        <w:ind w:left="2880" w:hanging="360"/>
      </w:pPr>
      <w:rPr>
        <w:rFonts w:ascii="Arial" w:hAnsi="Arial" w:hint="default"/>
      </w:rPr>
    </w:lvl>
    <w:lvl w:ilvl="4" w:tplc="DA8E0A7E" w:tentative="1">
      <w:start w:val="1"/>
      <w:numFmt w:val="bullet"/>
      <w:lvlText w:val="–"/>
      <w:lvlJc w:val="left"/>
      <w:pPr>
        <w:tabs>
          <w:tab w:val="num" w:pos="3600"/>
        </w:tabs>
        <w:ind w:left="3600" w:hanging="360"/>
      </w:pPr>
      <w:rPr>
        <w:rFonts w:ascii="Arial" w:hAnsi="Arial" w:hint="default"/>
      </w:rPr>
    </w:lvl>
    <w:lvl w:ilvl="5" w:tplc="F94CA3C0" w:tentative="1">
      <w:start w:val="1"/>
      <w:numFmt w:val="bullet"/>
      <w:lvlText w:val="–"/>
      <w:lvlJc w:val="left"/>
      <w:pPr>
        <w:tabs>
          <w:tab w:val="num" w:pos="4320"/>
        </w:tabs>
        <w:ind w:left="4320" w:hanging="360"/>
      </w:pPr>
      <w:rPr>
        <w:rFonts w:ascii="Arial" w:hAnsi="Arial" w:hint="default"/>
      </w:rPr>
    </w:lvl>
    <w:lvl w:ilvl="6" w:tplc="898C40CC" w:tentative="1">
      <w:start w:val="1"/>
      <w:numFmt w:val="bullet"/>
      <w:lvlText w:val="–"/>
      <w:lvlJc w:val="left"/>
      <w:pPr>
        <w:tabs>
          <w:tab w:val="num" w:pos="5040"/>
        </w:tabs>
        <w:ind w:left="5040" w:hanging="360"/>
      </w:pPr>
      <w:rPr>
        <w:rFonts w:ascii="Arial" w:hAnsi="Arial" w:hint="default"/>
      </w:rPr>
    </w:lvl>
    <w:lvl w:ilvl="7" w:tplc="331E85EA" w:tentative="1">
      <w:start w:val="1"/>
      <w:numFmt w:val="bullet"/>
      <w:lvlText w:val="–"/>
      <w:lvlJc w:val="left"/>
      <w:pPr>
        <w:tabs>
          <w:tab w:val="num" w:pos="5760"/>
        </w:tabs>
        <w:ind w:left="5760" w:hanging="360"/>
      </w:pPr>
      <w:rPr>
        <w:rFonts w:ascii="Arial" w:hAnsi="Arial" w:hint="default"/>
      </w:rPr>
    </w:lvl>
    <w:lvl w:ilvl="8" w:tplc="C10ED98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256C9B"/>
    <w:multiLevelType w:val="hybridMultilevel"/>
    <w:tmpl w:val="6548F07A"/>
    <w:lvl w:ilvl="0" w:tplc="31ACE8BE">
      <w:start w:val="1"/>
      <w:numFmt w:val="bullet"/>
      <w:lvlText w:val="•"/>
      <w:lvlJc w:val="left"/>
      <w:pPr>
        <w:tabs>
          <w:tab w:val="num" w:pos="720"/>
        </w:tabs>
        <w:ind w:left="720" w:hanging="360"/>
      </w:pPr>
      <w:rPr>
        <w:rFonts w:ascii="Arial" w:hAnsi="Arial" w:hint="default"/>
      </w:rPr>
    </w:lvl>
    <w:lvl w:ilvl="1" w:tplc="5C188D12">
      <w:start w:val="61"/>
      <w:numFmt w:val="bullet"/>
      <w:lvlText w:val="–"/>
      <w:lvlJc w:val="left"/>
      <w:pPr>
        <w:tabs>
          <w:tab w:val="num" w:pos="1440"/>
        </w:tabs>
        <w:ind w:left="1440" w:hanging="360"/>
      </w:pPr>
      <w:rPr>
        <w:rFonts w:ascii="Arial" w:hAnsi="Arial" w:hint="default"/>
      </w:rPr>
    </w:lvl>
    <w:lvl w:ilvl="2" w:tplc="5190716A" w:tentative="1">
      <w:start w:val="1"/>
      <w:numFmt w:val="bullet"/>
      <w:lvlText w:val="•"/>
      <w:lvlJc w:val="left"/>
      <w:pPr>
        <w:tabs>
          <w:tab w:val="num" w:pos="2160"/>
        </w:tabs>
        <w:ind w:left="2160" w:hanging="360"/>
      </w:pPr>
      <w:rPr>
        <w:rFonts w:ascii="Arial" w:hAnsi="Arial" w:hint="default"/>
      </w:rPr>
    </w:lvl>
    <w:lvl w:ilvl="3" w:tplc="7FF68656" w:tentative="1">
      <w:start w:val="1"/>
      <w:numFmt w:val="bullet"/>
      <w:lvlText w:val="•"/>
      <w:lvlJc w:val="left"/>
      <w:pPr>
        <w:tabs>
          <w:tab w:val="num" w:pos="2880"/>
        </w:tabs>
        <w:ind w:left="2880" w:hanging="360"/>
      </w:pPr>
      <w:rPr>
        <w:rFonts w:ascii="Arial" w:hAnsi="Arial" w:hint="default"/>
      </w:rPr>
    </w:lvl>
    <w:lvl w:ilvl="4" w:tplc="F1F044B8" w:tentative="1">
      <w:start w:val="1"/>
      <w:numFmt w:val="bullet"/>
      <w:lvlText w:val="•"/>
      <w:lvlJc w:val="left"/>
      <w:pPr>
        <w:tabs>
          <w:tab w:val="num" w:pos="3600"/>
        </w:tabs>
        <w:ind w:left="3600" w:hanging="360"/>
      </w:pPr>
      <w:rPr>
        <w:rFonts w:ascii="Arial" w:hAnsi="Arial" w:hint="default"/>
      </w:rPr>
    </w:lvl>
    <w:lvl w:ilvl="5" w:tplc="C972D552" w:tentative="1">
      <w:start w:val="1"/>
      <w:numFmt w:val="bullet"/>
      <w:lvlText w:val="•"/>
      <w:lvlJc w:val="left"/>
      <w:pPr>
        <w:tabs>
          <w:tab w:val="num" w:pos="4320"/>
        </w:tabs>
        <w:ind w:left="4320" w:hanging="360"/>
      </w:pPr>
      <w:rPr>
        <w:rFonts w:ascii="Arial" w:hAnsi="Arial" w:hint="default"/>
      </w:rPr>
    </w:lvl>
    <w:lvl w:ilvl="6" w:tplc="282C8B02" w:tentative="1">
      <w:start w:val="1"/>
      <w:numFmt w:val="bullet"/>
      <w:lvlText w:val="•"/>
      <w:lvlJc w:val="left"/>
      <w:pPr>
        <w:tabs>
          <w:tab w:val="num" w:pos="5040"/>
        </w:tabs>
        <w:ind w:left="5040" w:hanging="360"/>
      </w:pPr>
      <w:rPr>
        <w:rFonts w:ascii="Arial" w:hAnsi="Arial" w:hint="default"/>
      </w:rPr>
    </w:lvl>
    <w:lvl w:ilvl="7" w:tplc="70608ADA" w:tentative="1">
      <w:start w:val="1"/>
      <w:numFmt w:val="bullet"/>
      <w:lvlText w:val="•"/>
      <w:lvlJc w:val="left"/>
      <w:pPr>
        <w:tabs>
          <w:tab w:val="num" w:pos="5760"/>
        </w:tabs>
        <w:ind w:left="5760" w:hanging="360"/>
      </w:pPr>
      <w:rPr>
        <w:rFonts w:ascii="Arial" w:hAnsi="Arial" w:hint="default"/>
      </w:rPr>
    </w:lvl>
    <w:lvl w:ilvl="8" w:tplc="53A2D1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B775C0A"/>
    <w:multiLevelType w:val="hybridMultilevel"/>
    <w:tmpl w:val="048A7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07162B"/>
    <w:multiLevelType w:val="hybridMultilevel"/>
    <w:tmpl w:val="4BA455AA"/>
    <w:lvl w:ilvl="0" w:tplc="23943C08">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2"/>
  </w:num>
  <w:num w:numId="4">
    <w:abstractNumId w:val="2"/>
  </w:num>
  <w:num w:numId="5">
    <w:abstractNumId w:val="6"/>
  </w:num>
  <w:num w:numId="6">
    <w:abstractNumId w:val="16"/>
  </w:num>
  <w:num w:numId="7">
    <w:abstractNumId w:val="9"/>
  </w:num>
  <w:num w:numId="8">
    <w:abstractNumId w:val="10"/>
  </w:num>
  <w:num w:numId="9">
    <w:abstractNumId w:val="8"/>
  </w:num>
  <w:num w:numId="10">
    <w:abstractNumId w:val="14"/>
  </w:num>
  <w:num w:numId="11">
    <w:abstractNumId w:val="1"/>
  </w:num>
  <w:num w:numId="12">
    <w:abstractNumId w:val="5"/>
  </w:num>
  <w:num w:numId="13">
    <w:abstractNumId w:val="0"/>
  </w:num>
  <w:num w:numId="14">
    <w:abstractNumId w:val="11"/>
    <w:lvlOverride w:ilvl="0">
      <w:startOverride w:val="1"/>
    </w:lvlOverride>
  </w:num>
  <w:num w:numId="15">
    <w:abstractNumId w:val="15"/>
    <w:lvlOverride w:ilvl="0">
      <w:startOverride w:val="1"/>
    </w:lvlOverride>
  </w:num>
  <w:num w:numId="16">
    <w:abstractNumId w:val="4"/>
  </w:num>
  <w:num w:numId="17">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F5D"/>
    <w:rsid w:val="000129BA"/>
    <w:rsid w:val="000136A3"/>
    <w:rsid w:val="00014A52"/>
    <w:rsid w:val="00014DD7"/>
    <w:rsid w:val="00014E0B"/>
    <w:rsid w:val="00015530"/>
    <w:rsid w:val="00015962"/>
    <w:rsid w:val="000162B2"/>
    <w:rsid w:val="000164DE"/>
    <w:rsid w:val="00016B4C"/>
    <w:rsid w:val="00017013"/>
    <w:rsid w:val="00017047"/>
    <w:rsid w:val="000205C1"/>
    <w:rsid w:val="00020D61"/>
    <w:rsid w:val="0002130A"/>
    <w:rsid w:val="0002187D"/>
    <w:rsid w:val="00021DEC"/>
    <w:rsid w:val="000222F7"/>
    <w:rsid w:val="000235D7"/>
    <w:rsid w:val="00023C29"/>
    <w:rsid w:val="00023E07"/>
    <w:rsid w:val="00023FEE"/>
    <w:rsid w:val="000248E7"/>
    <w:rsid w:val="00025018"/>
    <w:rsid w:val="000250C2"/>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F5A"/>
    <w:rsid w:val="00055B35"/>
    <w:rsid w:val="0005602E"/>
    <w:rsid w:val="00056057"/>
    <w:rsid w:val="000565AE"/>
    <w:rsid w:val="000570A3"/>
    <w:rsid w:val="000570E2"/>
    <w:rsid w:val="0005759C"/>
    <w:rsid w:val="00057994"/>
    <w:rsid w:val="00057F6C"/>
    <w:rsid w:val="00060BE0"/>
    <w:rsid w:val="00060D34"/>
    <w:rsid w:val="00060FDB"/>
    <w:rsid w:val="000612C5"/>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2F9"/>
    <w:rsid w:val="00077EB9"/>
    <w:rsid w:val="000801D8"/>
    <w:rsid w:val="00080783"/>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E99"/>
    <w:rsid w:val="000A19B6"/>
    <w:rsid w:val="000A1D49"/>
    <w:rsid w:val="000A1FB3"/>
    <w:rsid w:val="000A2AA6"/>
    <w:rsid w:val="000A356B"/>
    <w:rsid w:val="000A3ACB"/>
    <w:rsid w:val="000A4B74"/>
    <w:rsid w:val="000A56C8"/>
    <w:rsid w:val="000A6466"/>
    <w:rsid w:val="000A6788"/>
    <w:rsid w:val="000A6CFE"/>
    <w:rsid w:val="000B1B68"/>
    <w:rsid w:val="000B1CD3"/>
    <w:rsid w:val="000B1FBE"/>
    <w:rsid w:val="000B23E2"/>
    <w:rsid w:val="000B247A"/>
    <w:rsid w:val="000B256B"/>
    <w:rsid w:val="000B300E"/>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C6798"/>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0"/>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852"/>
    <w:rsid w:val="00111AD9"/>
    <w:rsid w:val="00112B8F"/>
    <w:rsid w:val="00112CFB"/>
    <w:rsid w:val="001134DA"/>
    <w:rsid w:val="001140FA"/>
    <w:rsid w:val="001146A3"/>
    <w:rsid w:val="00114B8D"/>
    <w:rsid w:val="00114EA7"/>
    <w:rsid w:val="00115B96"/>
    <w:rsid w:val="00117957"/>
    <w:rsid w:val="00117C13"/>
    <w:rsid w:val="00120545"/>
    <w:rsid w:val="00121412"/>
    <w:rsid w:val="00123993"/>
    <w:rsid w:val="0012467D"/>
    <w:rsid w:val="00124A01"/>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F1"/>
    <w:rsid w:val="001412C2"/>
    <w:rsid w:val="0014161D"/>
    <w:rsid w:val="001418FE"/>
    <w:rsid w:val="00142093"/>
    <w:rsid w:val="0014244B"/>
    <w:rsid w:val="0014371C"/>
    <w:rsid w:val="001437AD"/>
    <w:rsid w:val="00143A51"/>
    <w:rsid w:val="00143FFE"/>
    <w:rsid w:val="0014452E"/>
    <w:rsid w:val="00144F22"/>
    <w:rsid w:val="001459EB"/>
    <w:rsid w:val="00145C7A"/>
    <w:rsid w:val="001461C2"/>
    <w:rsid w:val="00146E5E"/>
    <w:rsid w:val="0014719D"/>
    <w:rsid w:val="00147B5F"/>
    <w:rsid w:val="00147D67"/>
    <w:rsid w:val="00147E88"/>
    <w:rsid w:val="0015019F"/>
    <w:rsid w:val="00151516"/>
    <w:rsid w:val="00151805"/>
    <w:rsid w:val="00151D5F"/>
    <w:rsid w:val="00151FFC"/>
    <w:rsid w:val="001529E0"/>
    <w:rsid w:val="00152BA8"/>
    <w:rsid w:val="0015366A"/>
    <w:rsid w:val="00153A6B"/>
    <w:rsid w:val="00153E38"/>
    <w:rsid w:val="001544AB"/>
    <w:rsid w:val="0015452C"/>
    <w:rsid w:val="00154BE2"/>
    <w:rsid w:val="00155732"/>
    <w:rsid w:val="00155E24"/>
    <w:rsid w:val="001560ED"/>
    <w:rsid w:val="001572A5"/>
    <w:rsid w:val="0015737A"/>
    <w:rsid w:val="001577CA"/>
    <w:rsid w:val="00157847"/>
    <w:rsid w:val="00160786"/>
    <w:rsid w:val="00160A67"/>
    <w:rsid w:val="001615DA"/>
    <w:rsid w:val="00161AEB"/>
    <w:rsid w:val="00162262"/>
    <w:rsid w:val="00162BD5"/>
    <w:rsid w:val="001630E4"/>
    <w:rsid w:val="001639BC"/>
    <w:rsid w:val="0016465B"/>
    <w:rsid w:val="00164703"/>
    <w:rsid w:val="001647FA"/>
    <w:rsid w:val="00166056"/>
    <w:rsid w:val="00166868"/>
    <w:rsid w:val="001669CF"/>
    <w:rsid w:val="00167857"/>
    <w:rsid w:val="00167C50"/>
    <w:rsid w:val="00172414"/>
    <w:rsid w:val="00172C20"/>
    <w:rsid w:val="001733C6"/>
    <w:rsid w:val="001746E6"/>
    <w:rsid w:val="00174883"/>
    <w:rsid w:val="00174DDB"/>
    <w:rsid w:val="001752EC"/>
    <w:rsid w:val="001755CA"/>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B7E72"/>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14F"/>
    <w:rsid w:val="001D2E6C"/>
    <w:rsid w:val="001D333B"/>
    <w:rsid w:val="001D506F"/>
    <w:rsid w:val="001D57BC"/>
    <w:rsid w:val="001D59DC"/>
    <w:rsid w:val="001D6F30"/>
    <w:rsid w:val="001D7260"/>
    <w:rsid w:val="001D7816"/>
    <w:rsid w:val="001D7B96"/>
    <w:rsid w:val="001E17D5"/>
    <w:rsid w:val="001E216A"/>
    <w:rsid w:val="001E220A"/>
    <w:rsid w:val="001E2419"/>
    <w:rsid w:val="001E24F9"/>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5991"/>
    <w:rsid w:val="00206246"/>
    <w:rsid w:val="002063A7"/>
    <w:rsid w:val="0020675E"/>
    <w:rsid w:val="0020683C"/>
    <w:rsid w:val="00206E5A"/>
    <w:rsid w:val="00207613"/>
    <w:rsid w:val="00207847"/>
    <w:rsid w:val="00207934"/>
    <w:rsid w:val="002102DC"/>
    <w:rsid w:val="00210301"/>
    <w:rsid w:val="002106D1"/>
    <w:rsid w:val="00210812"/>
    <w:rsid w:val="00210A2E"/>
    <w:rsid w:val="00210C91"/>
    <w:rsid w:val="002115D2"/>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14BC"/>
    <w:rsid w:val="002314EE"/>
    <w:rsid w:val="00231C70"/>
    <w:rsid w:val="00231D67"/>
    <w:rsid w:val="00234482"/>
    <w:rsid w:val="00235F2E"/>
    <w:rsid w:val="00236F71"/>
    <w:rsid w:val="00237779"/>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27C8"/>
    <w:rsid w:val="00272FEB"/>
    <w:rsid w:val="002738C9"/>
    <w:rsid w:val="00273B2D"/>
    <w:rsid w:val="00273CFB"/>
    <w:rsid w:val="002756D5"/>
    <w:rsid w:val="0027598E"/>
    <w:rsid w:val="00275AD2"/>
    <w:rsid w:val="00276AA1"/>
    <w:rsid w:val="0027723B"/>
    <w:rsid w:val="0027731D"/>
    <w:rsid w:val="00277E66"/>
    <w:rsid w:val="00277EC3"/>
    <w:rsid w:val="00277F86"/>
    <w:rsid w:val="002801E2"/>
    <w:rsid w:val="00282055"/>
    <w:rsid w:val="00282DA8"/>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62B"/>
    <w:rsid w:val="00291C52"/>
    <w:rsid w:val="002922A2"/>
    <w:rsid w:val="002923B9"/>
    <w:rsid w:val="00292AC6"/>
    <w:rsid w:val="00292C30"/>
    <w:rsid w:val="0029308D"/>
    <w:rsid w:val="00293467"/>
    <w:rsid w:val="00293504"/>
    <w:rsid w:val="002944CA"/>
    <w:rsid w:val="0029639B"/>
    <w:rsid w:val="00296FD8"/>
    <w:rsid w:val="0029743A"/>
    <w:rsid w:val="00297DBE"/>
    <w:rsid w:val="002A0724"/>
    <w:rsid w:val="002A07C1"/>
    <w:rsid w:val="002A1DF0"/>
    <w:rsid w:val="002A205B"/>
    <w:rsid w:val="002A3668"/>
    <w:rsid w:val="002A53DF"/>
    <w:rsid w:val="002A6F89"/>
    <w:rsid w:val="002B03CD"/>
    <w:rsid w:val="002B07BF"/>
    <w:rsid w:val="002B0805"/>
    <w:rsid w:val="002B0FD5"/>
    <w:rsid w:val="002B11A0"/>
    <w:rsid w:val="002B11AC"/>
    <w:rsid w:val="002B1D4B"/>
    <w:rsid w:val="002B26D2"/>
    <w:rsid w:val="002B2C92"/>
    <w:rsid w:val="002B318B"/>
    <w:rsid w:val="002B3BD3"/>
    <w:rsid w:val="002B3D90"/>
    <w:rsid w:val="002B4B19"/>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31E"/>
    <w:rsid w:val="002D5A7E"/>
    <w:rsid w:val="002D68CF"/>
    <w:rsid w:val="002E042F"/>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C61"/>
    <w:rsid w:val="002F178F"/>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2C13"/>
    <w:rsid w:val="00303442"/>
    <w:rsid w:val="003044B9"/>
    <w:rsid w:val="003073BB"/>
    <w:rsid w:val="00307683"/>
    <w:rsid w:val="00307B27"/>
    <w:rsid w:val="00307D3F"/>
    <w:rsid w:val="0031013F"/>
    <w:rsid w:val="00311941"/>
    <w:rsid w:val="003123EA"/>
    <w:rsid w:val="003125FA"/>
    <w:rsid w:val="00313C4F"/>
    <w:rsid w:val="003158FE"/>
    <w:rsid w:val="003160EC"/>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3DC8"/>
    <w:rsid w:val="00335250"/>
    <w:rsid w:val="0033592C"/>
    <w:rsid w:val="00335B9C"/>
    <w:rsid w:val="00336164"/>
    <w:rsid w:val="0034150F"/>
    <w:rsid w:val="0034298C"/>
    <w:rsid w:val="00342D82"/>
    <w:rsid w:val="0034305B"/>
    <w:rsid w:val="00343E84"/>
    <w:rsid w:val="003444EB"/>
    <w:rsid w:val="00344778"/>
    <w:rsid w:val="00344F78"/>
    <w:rsid w:val="0034511B"/>
    <w:rsid w:val="00345740"/>
    <w:rsid w:val="00346F64"/>
    <w:rsid w:val="003504EC"/>
    <w:rsid w:val="003509B5"/>
    <w:rsid w:val="00350EF6"/>
    <w:rsid w:val="00351118"/>
    <w:rsid w:val="0035244F"/>
    <w:rsid w:val="00352DAE"/>
    <w:rsid w:val="00353295"/>
    <w:rsid w:val="003539B2"/>
    <w:rsid w:val="00353A56"/>
    <w:rsid w:val="00353D7D"/>
    <w:rsid w:val="0035414B"/>
    <w:rsid w:val="00354387"/>
    <w:rsid w:val="00354D13"/>
    <w:rsid w:val="00355DD1"/>
    <w:rsid w:val="00356CEC"/>
    <w:rsid w:val="00357034"/>
    <w:rsid w:val="00357522"/>
    <w:rsid w:val="003576D7"/>
    <w:rsid w:val="00357712"/>
    <w:rsid w:val="0036185C"/>
    <w:rsid w:val="00362C5A"/>
    <w:rsid w:val="00362FFF"/>
    <w:rsid w:val="003632C1"/>
    <w:rsid w:val="00364283"/>
    <w:rsid w:val="003643CE"/>
    <w:rsid w:val="00364C7A"/>
    <w:rsid w:val="0036641B"/>
    <w:rsid w:val="003670A6"/>
    <w:rsid w:val="00367CE6"/>
    <w:rsid w:val="00370042"/>
    <w:rsid w:val="00370285"/>
    <w:rsid w:val="003703C5"/>
    <w:rsid w:val="00370EFD"/>
    <w:rsid w:val="0037164C"/>
    <w:rsid w:val="003719F5"/>
    <w:rsid w:val="00372A6B"/>
    <w:rsid w:val="0037377E"/>
    <w:rsid w:val="003741D2"/>
    <w:rsid w:val="00374804"/>
    <w:rsid w:val="00374F06"/>
    <w:rsid w:val="00375BD2"/>
    <w:rsid w:val="003764FA"/>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1D"/>
    <w:rsid w:val="0039665F"/>
    <w:rsid w:val="00396D81"/>
    <w:rsid w:val="003A0311"/>
    <w:rsid w:val="003A0F88"/>
    <w:rsid w:val="003A12CF"/>
    <w:rsid w:val="003A1341"/>
    <w:rsid w:val="003A19E0"/>
    <w:rsid w:val="003A1C4F"/>
    <w:rsid w:val="003A1DD5"/>
    <w:rsid w:val="003A336B"/>
    <w:rsid w:val="003A3F02"/>
    <w:rsid w:val="003A41B3"/>
    <w:rsid w:val="003A42BB"/>
    <w:rsid w:val="003A5125"/>
    <w:rsid w:val="003A590E"/>
    <w:rsid w:val="003A6D8E"/>
    <w:rsid w:val="003B0B4D"/>
    <w:rsid w:val="003B1041"/>
    <w:rsid w:val="003B1E84"/>
    <w:rsid w:val="003B2360"/>
    <w:rsid w:val="003B3F9B"/>
    <w:rsid w:val="003B47B7"/>
    <w:rsid w:val="003B4FDE"/>
    <w:rsid w:val="003B5051"/>
    <w:rsid w:val="003B570F"/>
    <w:rsid w:val="003B5BA9"/>
    <w:rsid w:val="003B5E30"/>
    <w:rsid w:val="003B6256"/>
    <w:rsid w:val="003B640C"/>
    <w:rsid w:val="003B6C82"/>
    <w:rsid w:val="003B6DD9"/>
    <w:rsid w:val="003B6FCB"/>
    <w:rsid w:val="003C00D9"/>
    <w:rsid w:val="003C0FB1"/>
    <w:rsid w:val="003C1734"/>
    <w:rsid w:val="003C1F75"/>
    <w:rsid w:val="003C23C3"/>
    <w:rsid w:val="003C28E6"/>
    <w:rsid w:val="003C4F25"/>
    <w:rsid w:val="003C5113"/>
    <w:rsid w:val="003C5FE4"/>
    <w:rsid w:val="003C6E9F"/>
    <w:rsid w:val="003D0246"/>
    <w:rsid w:val="003D09DA"/>
    <w:rsid w:val="003D0A1E"/>
    <w:rsid w:val="003D12AF"/>
    <w:rsid w:val="003D2339"/>
    <w:rsid w:val="003D26AA"/>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546"/>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52C"/>
    <w:rsid w:val="004309F8"/>
    <w:rsid w:val="00431353"/>
    <w:rsid w:val="00431843"/>
    <w:rsid w:val="0043270B"/>
    <w:rsid w:val="00432E20"/>
    <w:rsid w:val="00432F8F"/>
    <w:rsid w:val="0043424B"/>
    <w:rsid w:val="004342AB"/>
    <w:rsid w:val="0043480E"/>
    <w:rsid w:val="004355EB"/>
    <w:rsid w:val="00435602"/>
    <w:rsid w:val="00435635"/>
    <w:rsid w:val="004356FA"/>
    <w:rsid w:val="00435840"/>
    <w:rsid w:val="00435CCF"/>
    <w:rsid w:val="004365C5"/>
    <w:rsid w:val="004371AB"/>
    <w:rsid w:val="0044035D"/>
    <w:rsid w:val="00441FE8"/>
    <w:rsid w:val="00442856"/>
    <w:rsid w:val="00442AF0"/>
    <w:rsid w:val="004430FD"/>
    <w:rsid w:val="00443BB1"/>
    <w:rsid w:val="00443D9E"/>
    <w:rsid w:val="004442A7"/>
    <w:rsid w:val="00444D83"/>
    <w:rsid w:val="00444E09"/>
    <w:rsid w:val="00444F64"/>
    <w:rsid w:val="004450CE"/>
    <w:rsid w:val="00445513"/>
    <w:rsid w:val="00445CFF"/>
    <w:rsid w:val="004462AF"/>
    <w:rsid w:val="0044686B"/>
    <w:rsid w:val="00446D2B"/>
    <w:rsid w:val="00450D3B"/>
    <w:rsid w:val="00450D54"/>
    <w:rsid w:val="00450E4C"/>
    <w:rsid w:val="0045109E"/>
    <w:rsid w:val="004518D5"/>
    <w:rsid w:val="00451B17"/>
    <w:rsid w:val="00451BEB"/>
    <w:rsid w:val="00451E3C"/>
    <w:rsid w:val="00452891"/>
    <w:rsid w:val="00453DEF"/>
    <w:rsid w:val="004543E4"/>
    <w:rsid w:val="004548E5"/>
    <w:rsid w:val="00456114"/>
    <w:rsid w:val="004562F8"/>
    <w:rsid w:val="00456971"/>
    <w:rsid w:val="00456CFF"/>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69B9"/>
    <w:rsid w:val="004670B3"/>
    <w:rsid w:val="00467A56"/>
    <w:rsid w:val="00467B21"/>
    <w:rsid w:val="00470750"/>
    <w:rsid w:val="004707FD"/>
    <w:rsid w:val="00471856"/>
    <w:rsid w:val="00472A81"/>
    <w:rsid w:val="00472D98"/>
    <w:rsid w:val="0047343E"/>
    <w:rsid w:val="00473779"/>
    <w:rsid w:val="00473839"/>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C46"/>
    <w:rsid w:val="00485E8A"/>
    <w:rsid w:val="004860F5"/>
    <w:rsid w:val="004863E3"/>
    <w:rsid w:val="00486EEB"/>
    <w:rsid w:val="0048729C"/>
    <w:rsid w:val="00487778"/>
    <w:rsid w:val="004877AA"/>
    <w:rsid w:val="00487852"/>
    <w:rsid w:val="00487C42"/>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56D"/>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A7B"/>
    <w:rsid w:val="004C6ED4"/>
    <w:rsid w:val="004C70A2"/>
    <w:rsid w:val="004C7384"/>
    <w:rsid w:val="004C7BDF"/>
    <w:rsid w:val="004D1A33"/>
    <w:rsid w:val="004D1D64"/>
    <w:rsid w:val="004D25FC"/>
    <w:rsid w:val="004D2848"/>
    <w:rsid w:val="004D2C45"/>
    <w:rsid w:val="004D2CDA"/>
    <w:rsid w:val="004D2DAF"/>
    <w:rsid w:val="004D3EB5"/>
    <w:rsid w:val="004D3F7D"/>
    <w:rsid w:val="004D4968"/>
    <w:rsid w:val="004D5F11"/>
    <w:rsid w:val="004D5F40"/>
    <w:rsid w:val="004D6240"/>
    <w:rsid w:val="004D6794"/>
    <w:rsid w:val="004E0289"/>
    <w:rsid w:val="004E03BE"/>
    <w:rsid w:val="004E0821"/>
    <w:rsid w:val="004E0BDC"/>
    <w:rsid w:val="004E0CD0"/>
    <w:rsid w:val="004E0E39"/>
    <w:rsid w:val="004E12EB"/>
    <w:rsid w:val="004E1498"/>
    <w:rsid w:val="004E3FD8"/>
    <w:rsid w:val="004E53AE"/>
    <w:rsid w:val="004E5A69"/>
    <w:rsid w:val="004E5C61"/>
    <w:rsid w:val="004E6184"/>
    <w:rsid w:val="004E6875"/>
    <w:rsid w:val="004E6C9B"/>
    <w:rsid w:val="004E6D32"/>
    <w:rsid w:val="004E6E54"/>
    <w:rsid w:val="004E7322"/>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94"/>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404F"/>
    <w:rsid w:val="005251DA"/>
    <w:rsid w:val="005255CE"/>
    <w:rsid w:val="00525CAE"/>
    <w:rsid w:val="00526C8A"/>
    <w:rsid w:val="00527489"/>
    <w:rsid w:val="00527DB2"/>
    <w:rsid w:val="00530BD5"/>
    <w:rsid w:val="00531307"/>
    <w:rsid w:val="0053173A"/>
    <w:rsid w:val="00531824"/>
    <w:rsid w:val="00532462"/>
    <w:rsid w:val="00532976"/>
    <w:rsid w:val="00533215"/>
    <w:rsid w:val="005339D2"/>
    <w:rsid w:val="005349EB"/>
    <w:rsid w:val="00534D96"/>
    <w:rsid w:val="0053542C"/>
    <w:rsid w:val="005408FD"/>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0C48"/>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200F"/>
    <w:rsid w:val="005622DF"/>
    <w:rsid w:val="005639EE"/>
    <w:rsid w:val="0056434D"/>
    <w:rsid w:val="005649A2"/>
    <w:rsid w:val="00564D6E"/>
    <w:rsid w:val="00566FBF"/>
    <w:rsid w:val="0056710F"/>
    <w:rsid w:val="0056719E"/>
    <w:rsid w:val="00567D6E"/>
    <w:rsid w:val="00570C83"/>
    <w:rsid w:val="005722DC"/>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0F03"/>
    <w:rsid w:val="00591331"/>
    <w:rsid w:val="00591781"/>
    <w:rsid w:val="00591921"/>
    <w:rsid w:val="00591B9C"/>
    <w:rsid w:val="00592A4A"/>
    <w:rsid w:val="005939E5"/>
    <w:rsid w:val="00595B80"/>
    <w:rsid w:val="00596231"/>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8"/>
    <w:rsid w:val="005C09BF"/>
    <w:rsid w:val="005C0D61"/>
    <w:rsid w:val="005C17D4"/>
    <w:rsid w:val="005C18B0"/>
    <w:rsid w:val="005C1B10"/>
    <w:rsid w:val="005C2EA8"/>
    <w:rsid w:val="005C3A28"/>
    <w:rsid w:val="005C4037"/>
    <w:rsid w:val="005C5849"/>
    <w:rsid w:val="005C5969"/>
    <w:rsid w:val="005C5AA6"/>
    <w:rsid w:val="005C5E0A"/>
    <w:rsid w:val="005C5E4D"/>
    <w:rsid w:val="005C7CAD"/>
    <w:rsid w:val="005D02FA"/>
    <w:rsid w:val="005D0790"/>
    <w:rsid w:val="005D0F09"/>
    <w:rsid w:val="005D2043"/>
    <w:rsid w:val="005D20FC"/>
    <w:rsid w:val="005D2464"/>
    <w:rsid w:val="005D2EE8"/>
    <w:rsid w:val="005D32EE"/>
    <w:rsid w:val="005D4722"/>
    <w:rsid w:val="005D4884"/>
    <w:rsid w:val="005D49D1"/>
    <w:rsid w:val="005D5B0E"/>
    <w:rsid w:val="005D5E46"/>
    <w:rsid w:val="005D64A5"/>
    <w:rsid w:val="005D680B"/>
    <w:rsid w:val="005D6B30"/>
    <w:rsid w:val="005D7AA9"/>
    <w:rsid w:val="005E0010"/>
    <w:rsid w:val="005E06FF"/>
    <w:rsid w:val="005E0EAD"/>
    <w:rsid w:val="005E0EB3"/>
    <w:rsid w:val="005E1F47"/>
    <w:rsid w:val="005E260D"/>
    <w:rsid w:val="005E35FD"/>
    <w:rsid w:val="005E383F"/>
    <w:rsid w:val="005E5220"/>
    <w:rsid w:val="005E7698"/>
    <w:rsid w:val="005E77D7"/>
    <w:rsid w:val="005E7CAF"/>
    <w:rsid w:val="005F0931"/>
    <w:rsid w:val="005F0C46"/>
    <w:rsid w:val="005F1FE4"/>
    <w:rsid w:val="005F2AF8"/>
    <w:rsid w:val="005F3F7F"/>
    <w:rsid w:val="005F4950"/>
    <w:rsid w:val="005F4AC6"/>
    <w:rsid w:val="005F55AA"/>
    <w:rsid w:val="005F55CC"/>
    <w:rsid w:val="005F55E3"/>
    <w:rsid w:val="005F5B30"/>
    <w:rsid w:val="005F5B83"/>
    <w:rsid w:val="005F60C4"/>
    <w:rsid w:val="005F6365"/>
    <w:rsid w:val="005F660A"/>
    <w:rsid w:val="005F6697"/>
    <w:rsid w:val="005F6B2A"/>
    <w:rsid w:val="0060031B"/>
    <w:rsid w:val="006012E3"/>
    <w:rsid w:val="00601FCD"/>
    <w:rsid w:val="00602949"/>
    <w:rsid w:val="00602F2F"/>
    <w:rsid w:val="00602FB5"/>
    <w:rsid w:val="0060342E"/>
    <w:rsid w:val="0060384D"/>
    <w:rsid w:val="006039C5"/>
    <w:rsid w:val="0060515F"/>
    <w:rsid w:val="00606C6F"/>
    <w:rsid w:val="00606FA6"/>
    <w:rsid w:val="00607079"/>
    <w:rsid w:val="00607ADE"/>
    <w:rsid w:val="00610204"/>
    <w:rsid w:val="00612015"/>
    <w:rsid w:val="006122CF"/>
    <w:rsid w:val="0061286E"/>
    <w:rsid w:val="00612C73"/>
    <w:rsid w:val="006144BB"/>
    <w:rsid w:val="00614CB4"/>
    <w:rsid w:val="00614EE6"/>
    <w:rsid w:val="006151F5"/>
    <w:rsid w:val="00615BDB"/>
    <w:rsid w:val="006165A9"/>
    <w:rsid w:val="00616A04"/>
    <w:rsid w:val="0061717F"/>
    <w:rsid w:val="00617D03"/>
    <w:rsid w:val="00617E9E"/>
    <w:rsid w:val="00620686"/>
    <w:rsid w:val="00620808"/>
    <w:rsid w:val="006209E8"/>
    <w:rsid w:val="00621B11"/>
    <w:rsid w:val="00621C0B"/>
    <w:rsid w:val="00621CAD"/>
    <w:rsid w:val="00622A7E"/>
    <w:rsid w:val="0062317C"/>
    <w:rsid w:val="00623C74"/>
    <w:rsid w:val="0062482E"/>
    <w:rsid w:val="00625213"/>
    <w:rsid w:val="00625B24"/>
    <w:rsid w:val="006265D0"/>
    <w:rsid w:val="00626B71"/>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7D2D"/>
    <w:rsid w:val="00650854"/>
    <w:rsid w:val="00650A04"/>
    <w:rsid w:val="00650CAB"/>
    <w:rsid w:val="00650DAC"/>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EF2"/>
    <w:rsid w:val="00662166"/>
    <w:rsid w:val="0066272F"/>
    <w:rsid w:val="00662962"/>
    <w:rsid w:val="00662B13"/>
    <w:rsid w:val="006635A1"/>
    <w:rsid w:val="0066397B"/>
    <w:rsid w:val="00663D73"/>
    <w:rsid w:val="0066425D"/>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79CD"/>
    <w:rsid w:val="00697FE2"/>
    <w:rsid w:val="006A0B49"/>
    <w:rsid w:val="006A1313"/>
    <w:rsid w:val="006A2347"/>
    <w:rsid w:val="006A24B3"/>
    <w:rsid w:val="006A2A3D"/>
    <w:rsid w:val="006A40F0"/>
    <w:rsid w:val="006A46C7"/>
    <w:rsid w:val="006A49B5"/>
    <w:rsid w:val="006A5A82"/>
    <w:rsid w:val="006A5BC7"/>
    <w:rsid w:val="006A5C44"/>
    <w:rsid w:val="006A5DE5"/>
    <w:rsid w:val="006A636A"/>
    <w:rsid w:val="006A6B69"/>
    <w:rsid w:val="006A6F85"/>
    <w:rsid w:val="006B1938"/>
    <w:rsid w:val="006B19B2"/>
    <w:rsid w:val="006B1DA2"/>
    <w:rsid w:val="006B1F5F"/>
    <w:rsid w:val="006B2064"/>
    <w:rsid w:val="006B2467"/>
    <w:rsid w:val="006B3749"/>
    <w:rsid w:val="006B3AD6"/>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24C"/>
    <w:rsid w:val="006C75C9"/>
    <w:rsid w:val="006C78FA"/>
    <w:rsid w:val="006C7D80"/>
    <w:rsid w:val="006D0448"/>
    <w:rsid w:val="006D0B4F"/>
    <w:rsid w:val="006D1F1A"/>
    <w:rsid w:val="006D21FF"/>
    <w:rsid w:val="006D434A"/>
    <w:rsid w:val="006D493C"/>
    <w:rsid w:val="006D5FEE"/>
    <w:rsid w:val="006D5FEF"/>
    <w:rsid w:val="006D64D6"/>
    <w:rsid w:val="006D6A4C"/>
    <w:rsid w:val="006D6FC8"/>
    <w:rsid w:val="006E0240"/>
    <w:rsid w:val="006E0678"/>
    <w:rsid w:val="006E0B10"/>
    <w:rsid w:val="006E0B16"/>
    <w:rsid w:val="006E10F6"/>
    <w:rsid w:val="006E22CC"/>
    <w:rsid w:val="006E3417"/>
    <w:rsid w:val="006E3B45"/>
    <w:rsid w:val="006E42A1"/>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6E5"/>
    <w:rsid w:val="007047A6"/>
    <w:rsid w:val="00704C05"/>
    <w:rsid w:val="00706D73"/>
    <w:rsid w:val="00706DA9"/>
    <w:rsid w:val="00706E42"/>
    <w:rsid w:val="00707BF4"/>
    <w:rsid w:val="00710994"/>
    <w:rsid w:val="00710D33"/>
    <w:rsid w:val="00710FF5"/>
    <w:rsid w:val="0071129C"/>
    <w:rsid w:val="00711AE4"/>
    <w:rsid w:val="00712D0F"/>
    <w:rsid w:val="0071374D"/>
    <w:rsid w:val="007137DB"/>
    <w:rsid w:val="007146D9"/>
    <w:rsid w:val="00714D3C"/>
    <w:rsid w:val="0071649C"/>
    <w:rsid w:val="007167B9"/>
    <w:rsid w:val="00717267"/>
    <w:rsid w:val="007178EE"/>
    <w:rsid w:val="00717C8F"/>
    <w:rsid w:val="00717CA5"/>
    <w:rsid w:val="00720484"/>
    <w:rsid w:val="007214AF"/>
    <w:rsid w:val="00721E1D"/>
    <w:rsid w:val="00722752"/>
    <w:rsid w:val="00722CD9"/>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254"/>
    <w:rsid w:val="00740497"/>
    <w:rsid w:val="00740A0A"/>
    <w:rsid w:val="00740CED"/>
    <w:rsid w:val="0074108B"/>
    <w:rsid w:val="00741B54"/>
    <w:rsid w:val="007420C9"/>
    <w:rsid w:val="00744055"/>
    <w:rsid w:val="00744F4E"/>
    <w:rsid w:val="0074576E"/>
    <w:rsid w:val="0074602F"/>
    <w:rsid w:val="00747446"/>
    <w:rsid w:val="00747915"/>
    <w:rsid w:val="00747F05"/>
    <w:rsid w:val="00750292"/>
    <w:rsid w:val="0075066D"/>
    <w:rsid w:val="00750A08"/>
    <w:rsid w:val="00751651"/>
    <w:rsid w:val="007529E9"/>
    <w:rsid w:val="00752FE7"/>
    <w:rsid w:val="00753440"/>
    <w:rsid w:val="00753819"/>
    <w:rsid w:val="00753DAC"/>
    <w:rsid w:val="00753DDF"/>
    <w:rsid w:val="00754E83"/>
    <w:rsid w:val="00754FB6"/>
    <w:rsid w:val="00755151"/>
    <w:rsid w:val="00755B06"/>
    <w:rsid w:val="0075603B"/>
    <w:rsid w:val="00756C09"/>
    <w:rsid w:val="007570E6"/>
    <w:rsid w:val="00757A61"/>
    <w:rsid w:val="00760D79"/>
    <w:rsid w:val="007619FB"/>
    <w:rsid w:val="00762924"/>
    <w:rsid w:val="00762D30"/>
    <w:rsid w:val="00763339"/>
    <w:rsid w:val="00763355"/>
    <w:rsid w:val="00763522"/>
    <w:rsid w:val="00763B37"/>
    <w:rsid w:val="00763FE8"/>
    <w:rsid w:val="00764E1D"/>
    <w:rsid w:val="00765327"/>
    <w:rsid w:val="007661E2"/>
    <w:rsid w:val="00766BFB"/>
    <w:rsid w:val="007678B6"/>
    <w:rsid w:val="00771844"/>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146E"/>
    <w:rsid w:val="0078165E"/>
    <w:rsid w:val="00781B9A"/>
    <w:rsid w:val="0078243D"/>
    <w:rsid w:val="00782548"/>
    <w:rsid w:val="00782920"/>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0C96"/>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212"/>
    <w:rsid w:val="007A06C7"/>
    <w:rsid w:val="007A0D8D"/>
    <w:rsid w:val="007A19F4"/>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7E0"/>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C10"/>
    <w:rsid w:val="007E1CB1"/>
    <w:rsid w:val="007E201B"/>
    <w:rsid w:val="007E218F"/>
    <w:rsid w:val="007E276E"/>
    <w:rsid w:val="007E2B64"/>
    <w:rsid w:val="007E3051"/>
    <w:rsid w:val="007E4238"/>
    <w:rsid w:val="007E4E4F"/>
    <w:rsid w:val="007E686B"/>
    <w:rsid w:val="007E6D46"/>
    <w:rsid w:val="007E6DA8"/>
    <w:rsid w:val="007E7769"/>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6E2"/>
    <w:rsid w:val="00815706"/>
    <w:rsid w:val="00815A88"/>
    <w:rsid w:val="008162DE"/>
    <w:rsid w:val="00817025"/>
    <w:rsid w:val="00820759"/>
    <w:rsid w:val="0082081A"/>
    <w:rsid w:val="00820E25"/>
    <w:rsid w:val="00821167"/>
    <w:rsid w:val="00821737"/>
    <w:rsid w:val="00821B0B"/>
    <w:rsid w:val="00821D40"/>
    <w:rsid w:val="008237B2"/>
    <w:rsid w:val="00826277"/>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E2"/>
    <w:rsid w:val="008535B0"/>
    <w:rsid w:val="00853A21"/>
    <w:rsid w:val="00853BD0"/>
    <w:rsid w:val="00854983"/>
    <w:rsid w:val="00854DBE"/>
    <w:rsid w:val="00855C49"/>
    <w:rsid w:val="00855C75"/>
    <w:rsid w:val="008569DF"/>
    <w:rsid w:val="00856B6B"/>
    <w:rsid w:val="00856E4A"/>
    <w:rsid w:val="008579B1"/>
    <w:rsid w:val="00857DB5"/>
    <w:rsid w:val="00857F97"/>
    <w:rsid w:val="0086007E"/>
    <w:rsid w:val="0086037F"/>
    <w:rsid w:val="0086058A"/>
    <w:rsid w:val="0086119E"/>
    <w:rsid w:val="008614CF"/>
    <w:rsid w:val="00861B0E"/>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3464"/>
    <w:rsid w:val="0089357C"/>
    <w:rsid w:val="00894722"/>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747"/>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C0743"/>
    <w:rsid w:val="008C084B"/>
    <w:rsid w:val="008C0DB5"/>
    <w:rsid w:val="008C17CD"/>
    <w:rsid w:val="008C2453"/>
    <w:rsid w:val="008C2920"/>
    <w:rsid w:val="008C32F7"/>
    <w:rsid w:val="008C436D"/>
    <w:rsid w:val="008C4853"/>
    <w:rsid w:val="008C48F2"/>
    <w:rsid w:val="008C5040"/>
    <w:rsid w:val="008C5BE7"/>
    <w:rsid w:val="008C74CC"/>
    <w:rsid w:val="008C7515"/>
    <w:rsid w:val="008C7F77"/>
    <w:rsid w:val="008D13DC"/>
    <w:rsid w:val="008D1E23"/>
    <w:rsid w:val="008D2461"/>
    <w:rsid w:val="008D34B7"/>
    <w:rsid w:val="008D4025"/>
    <w:rsid w:val="008D479A"/>
    <w:rsid w:val="008D4EA1"/>
    <w:rsid w:val="008D538D"/>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A9"/>
    <w:rsid w:val="009067B8"/>
    <w:rsid w:val="00906975"/>
    <w:rsid w:val="00906EED"/>
    <w:rsid w:val="009070C2"/>
    <w:rsid w:val="0090715C"/>
    <w:rsid w:val="009074D6"/>
    <w:rsid w:val="00907955"/>
    <w:rsid w:val="009100EC"/>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269"/>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B68"/>
    <w:rsid w:val="00940DF4"/>
    <w:rsid w:val="00941A1C"/>
    <w:rsid w:val="00942CAE"/>
    <w:rsid w:val="00943048"/>
    <w:rsid w:val="0094335F"/>
    <w:rsid w:val="00943704"/>
    <w:rsid w:val="00944202"/>
    <w:rsid w:val="0094463D"/>
    <w:rsid w:val="00944A81"/>
    <w:rsid w:val="00944F9F"/>
    <w:rsid w:val="00945781"/>
    <w:rsid w:val="009459ED"/>
    <w:rsid w:val="00945DFF"/>
    <w:rsid w:val="00945E49"/>
    <w:rsid w:val="00945E7C"/>
    <w:rsid w:val="009462D8"/>
    <w:rsid w:val="00946388"/>
    <w:rsid w:val="009470FD"/>
    <w:rsid w:val="00947C1A"/>
    <w:rsid w:val="0095014D"/>
    <w:rsid w:val="009515E0"/>
    <w:rsid w:val="00951995"/>
    <w:rsid w:val="00951B63"/>
    <w:rsid w:val="00951C7E"/>
    <w:rsid w:val="00951CF6"/>
    <w:rsid w:val="009520A6"/>
    <w:rsid w:val="009536DA"/>
    <w:rsid w:val="009537A7"/>
    <w:rsid w:val="009548C3"/>
    <w:rsid w:val="0095506D"/>
    <w:rsid w:val="0095535D"/>
    <w:rsid w:val="009555E2"/>
    <w:rsid w:val="00955A31"/>
    <w:rsid w:val="00955F35"/>
    <w:rsid w:val="009567AF"/>
    <w:rsid w:val="0095685B"/>
    <w:rsid w:val="009572CB"/>
    <w:rsid w:val="00957679"/>
    <w:rsid w:val="009576C5"/>
    <w:rsid w:val="00957C19"/>
    <w:rsid w:val="00957D9C"/>
    <w:rsid w:val="00960F93"/>
    <w:rsid w:val="009612F1"/>
    <w:rsid w:val="00961B8B"/>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EC5"/>
    <w:rsid w:val="00971FCC"/>
    <w:rsid w:val="00971FE2"/>
    <w:rsid w:val="009728FB"/>
    <w:rsid w:val="0097298A"/>
    <w:rsid w:val="0097373B"/>
    <w:rsid w:val="00973BAF"/>
    <w:rsid w:val="00974182"/>
    <w:rsid w:val="00975236"/>
    <w:rsid w:val="0097579F"/>
    <w:rsid w:val="00975CBD"/>
    <w:rsid w:val="0097672C"/>
    <w:rsid w:val="009769BA"/>
    <w:rsid w:val="009773CE"/>
    <w:rsid w:val="0097780F"/>
    <w:rsid w:val="009778AB"/>
    <w:rsid w:val="00981A14"/>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0A4"/>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6970"/>
    <w:rsid w:val="009B74E2"/>
    <w:rsid w:val="009C00EF"/>
    <w:rsid w:val="009C064F"/>
    <w:rsid w:val="009C1566"/>
    <w:rsid w:val="009C245B"/>
    <w:rsid w:val="009C281C"/>
    <w:rsid w:val="009C3440"/>
    <w:rsid w:val="009C4E6E"/>
    <w:rsid w:val="009C520B"/>
    <w:rsid w:val="009C5874"/>
    <w:rsid w:val="009C6768"/>
    <w:rsid w:val="009C6894"/>
    <w:rsid w:val="009C6B3B"/>
    <w:rsid w:val="009C6B7B"/>
    <w:rsid w:val="009C6DA9"/>
    <w:rsid w:val="009D030C"/>
    <w:rsid w:val="009D22EA"/>
    <w:rsid w:val="009D2A1A"/>
    <w:rsid w:val="009D2C4C"/>
    <w:rsid w:val="009D2C71"/>
    <w:rsid w:val="009D341F"/>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2DA"/>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AAA"/>
    <w:rsid w:val="00A21FEA"/>
    <w:rsid w:val="00A23DD3"/>
    <w:rsid w:val="00A2470A"/>
    <w:rsid w:val="00A2481C"/>
    <w:rsid w:val="00A2627F"/>
    <w:rsid w:val="00A26883"/>
    <w:rsid w:val="00A30BAE"/>
    <w:rsid w:val="00A30C48"/>
    <w:rsid w:val="00A30D43"/>
    <w:rsid w:val="00A314A9"/>
    <w:rsid w:val="00A31591"/>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49"/>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90B"/>
    <w:rsid w:val="00A63A37"/>
    <w:rsid w:val="00A648F2"/>
    <w:rsid w:val="00A65C98"/>
    <w:rsid w:val="00A6630B"/>
    <w:rsid w:val="00A676B6"/>
    <w:rsid w:val="00A67A2E"/>
    <w:rsid w:val="00A67A8E"/>
    <w:rsid w:val="00A67DED"/>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9C9"/>
    <w:rsid w:val="00A76A52"/>
    <w:rsid w:val="00A76BA5"/>
    <w:rsid w:val="00A7735F"/>
    <w:rsid w:val="00A80709"/>
    <w:rsid w:val="00A817F3"/>
    <w:rsid w:val="00A819D5"/>
    <w:rsid w:val="00A81DCD"/>
    <w:rsid w:val="00A8221B"/>
    <w:rsid w:val="00A82D80"/>
    <w:rsid w:val="00A83430"/>
    <w:rsid w:val="00A8389D"/>
    <w:rsid w:val="00A83BF1"/>
    <w:rsid w:val="00A84298"/>
    <w:rsid w:val="00A842D6"/>
    <w:rsid w:val="00A844C6"/>
    <w:rsid w:val="00A8523D"/>
    <w:rsid w:val="00A87027"/>
    <w:rsid w:val="00A905F1"/>
    <w:rsid w:val="00A90E27"/>
    <w:rsid w:val="00A911C3"/>
    <w:rsid w:val="00A91218"/>
    <w:rsid w:val="00A913B4"/>
    <w:rsid w:val="00A92A8E"/>
    <w:rsid w:val="00A92BA5"/>
    <w:rsid w:val="00A934FE"/>
    <w:rsid w:val="00A94B41"/>
    <w:rsid w:val="00A95933"/>
    <w:rsid w:val="00A959DF"/>
    <w:rsid w:val="00A96C56"/>
    <w:rsid w:val="00A96D7E"/>
    <w:rsid w:val="00A97B8C"/>
    <w:rsid w:val="00A97BCD"/>
    <w:rsid w:val="00A97EB5"/>
    <w:rsid w:val="00AA0C88"/>
    <w:rsid w:val="00AA158B"/>
    <w:rsid w:val="00AA1D12"/>
    <w:rsid w:val="00AA2CD8"/>
    <w:rsid w:val="00AA30A2"/>
    <w:rsid w:val="00AA35D2"/>
    <w:rsid w:val="00AA37AC"/>
    <w:rsid w:val="00AA398E"/>
    <w:rsid w:val="00AA49B7"/>
    <w:rsid w:val="00AA61DD"/>
    <w:rsid w:val="00AA630A"/>
    <w:rsid w:val="00AA69EF"/>
    <w:rsid w:val="00AA6F9A"/>
    <w:rsid w:val="00AA7159"/>
    <w:rsid w:val="00AA7A0E"/>
    <w:rsid w:val="00AB02C8"/>
    <w:rsid w:val="00AB102D"/>
    <w:rsid w:val="00AB1A33"/>
    <w:rsid w:val="00AB2224"/>
    <w:rsid w:val="00AB2857"/>
    <w:rsid w:val="00AB2AB9"/>
    <w:rsid w:val="00AB3299"/>
    <w:rsid w:val="00AB3E16"/>
    <w:rsid w:val="00AB3F97"/>
    <w:rsid w:val="00AB47A1"/>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3B97"/>
    <w:rsid w:val="00AC4379"/>
    <w:rsid w:val="00AC4D53"/>
    <w:rsid w:val="00AC4E7D"/>
    <w:rsid w:val="00AC5264"/>
    <w:rsid w:val="00AC55D6"/>
    <w:rsid w:val="00AC5F81"/>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D49"/>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99F"/>
    <w:rsid w:val="00B04D36"/>
    <w:rsid w:val="00B04F11"/>
    <w:rsid w:val="00B05155"/>
    <w:rsid w:val="00B05688"/>
    <w:rsid w:val="00B05A41"/>
    <w:rsid w:val="00B06241"/>
    <w:rsid w:val="00B07988"/>
    <w:rsid w:val="00B07EDA"/>
    <w:rsid w:val="00B11AC8"/>
    <w:rsid w:val="00B11C22"/>
    <w:rsid w:val="00B11E9A"/>
    <w:rsid w:val="00B13818"/>
    <w:rsid w:val="00B14E6C"/>
    <w:rsid w:val="00B151C6"/>
    <w:rsid w:val="00B15CC4"/>
    <w:rsid w:val="00B162C5"/>
    <w:rsid w:val="00B17793"/>
    <w:rsid w:val="00B17D79"/>
    <w:rsid w:val="00B17F5F"/>
    <w:rsid w:val="00B20057"/>
    <w:rsid w:val="00B208A5"/>
    <w:rsid w:val="00B209B5"/>
    <w:rsid w:val="00B20E2B"/>
    <w:rsid w:val="00B21CA7"/>
    <w:rsid w:val="00B22651"/>
    <w:rsid w:val="00B22CE2"/>
    <w:rsid w:val="00B23216"/>
    <w:rsid w:val="00B23960"/>
    <w:rsid w:val="00B24165"/>
    <w:rsid w:val="00B24C37"/>
    <w:rsid w:val="00B24F49"/>
    <w:rsid w:val="00B255A7"/>
    <w:rsid w:val="00B25A70"/>
    <w:rsid w:val="00B25F9A"/>
    <w:rsid w:val="00B263DD"/>
    <w:rsid w:val="00B27080"/>
    <w:rsid w:val="00B272D3"/>
    <w:rsid w:val="00B31F85"/>
    <w:rsid w:val="00B32D9A"/>
    <w:rsid w:val="00B33105"/>
    <w:rsid w:val="00B3396B"/>
    <w:rsid w:val="00B33C09"/>
    <w:rsid w:val="00B34CA0"/>
    <w:rsid w:val="00B35846"/>
    <w:rsid w:val="00B35E23"/>
    <w:rsid w:val="00B364F3"/>
    <w:rsid w:val="00B36993"/>
    <w:rsid w:val="00B37456"/>
    <w:rsid w:val="00B40294"/>
    <w:rsid w:val="00B40D73"/>
    <w:rsid w:val="00B411BF"/>
    <w:rsid w:val="00B426FE"/>
    <w:rsid w:val="00B4299D"/>
    <w:rsid w:val="00B430D3"/>
    <w:rsid w:val="00B43215"/>
    <w:rsid w:val="00B433B2"/>
    <w:rsid w:val="00B437BD"/>
    <w:rsid w:val="00B439FA"/>
    <w:rsid w:val="00B43F99"/>
    <w:rsid w:val="00B4485B"/>
    <w:rsid w:val="00B448C2"/>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7D22"/>
    <w:rsid w:val="00B70068"/>
    <w:rsid w:val="00B701B4"/>
    <w:rsid w:val="00B7049B"/>
    <w:rsid w:val="00B70EDB"/>
    <w:rsid w:val="00B71A5D"/>
    <w:rsid w:val="00B72444"/>
    <w:rsid w:val="00B737C7"/>
    <w:rsid w:val="00B74A0D"/>
    <w:rsid w:val="00B74FBD"/>
    <w:rsid w:val="00B75667"/>
    <w:rsid w:val="00B75780"/>
    <w:rsid w:val="00B75A1E"/>
    <w:rsid w:val="00B76A7A"/>
    <w:rsid w:val="00B77B01"/>
    <w:rsid w:val="00B77D22"/>
    <w:rsid w:val="00B77D8A"/>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93D"/>
    <w:rsid w:val="00BA2AEB"/>
    <w:rsid w:val="00BA2BCA"/>
    <w:rsid w:val="00BA3A4C"/>
    <w:rsid w:val="00BA3B3B"/>
    <w:rsid w:val="00BA40BE"/>
    <w:rsid w:val="00BA4278"/>
    <w:rsid w:val="00BA44AB"/>
    <w:rsid w:val="00BA48E0"/>
    <w:rsid w:val="00BA5EFB"/>
    <w:rsid w:val="00BA659A"/>
    <w:rsid w:val="00BA68C1"/>
    <w:rsid w:val="00BA6E74"/>
    <w:rsid w:val="00BA715B"/>
    <w:rsid w:val="00BA79BC"/>
    <w:rsid w:val="00BA7EB0"/>
    <w:rsid w:val="00BB022B"/>
    <w:rsid w:val="00BB0528"/>
    <w:rsid w:val="00BB1D67"/>
    <w:rsid w:val="00BB214E"/>
    <w:rsid w:val="00BB232E"/>
    <w:rsid w:val="00BB23BD"/>
    <w:rsid w:val="00BB301E"/>
    <w:rsid w:val="00BB316C"/>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567C"/>
    <w:rsid w:val="00BD5A65"/>
    <w:rsid w:val="00BD689C"/>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70A1"/>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86A"/>
    <w:rsid w:val="00C27E62"/>
    <w:rsid w:val="00C300D9"/>
    <w:rsid w:val="00C30799"/>
    <w:rsid w:val="00C30D3F"/>
    <w:rsid w:val="00C30DAA"/>
    <w:rsid w:val="00C30F1F"/>
    <w:rsid w:val="00C31089"/>
    <w:rsid w:val="00C319A2"/>
    <w:rsid w:val="00C3208A"/>
    <w:rsid w:val="00C337F3"/>
    <w:rsid w:val="00C33B98"/>
    <w:rsid w:val="00C33FF0"/>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C62"/>
    <w:rsid w:val="00C55231"/>
    <w:rsid w:val="00C563DF"/>
    <w:rsid w:val="00C57750"/>
    <w:rsid w:val="00C57CC6"/>
    <w:rsid w:val="00C604D8"/>
    <w:rsid w:val="00C60EC1"/>
    <w:rsid w:val="00C61F3D"/>
    <w:rsid w:val="00C620E3"/>
    <w:rsid w:val="00C62469"/>
    <w:rsid w:val="00C62997"/>
    <w:rsid w:val="00C62B6B"/>
    <w:rsid w:val="00C62DEF"/>
    <w:rsid w:val="00C62F42"/>
    <w:rsid w:val="00C633AB"/>
    <w:rsid w:val="00C64849"/>
    <w:rsid w:val="00C65F58"/>
    <w:rsid w:val="00C66571"/>
    <w:rsid w:val="00C667F6"/>
    <w:rsid w:val="00C66B7F"/>
    <w:rsid w:val="00C66C4B"/>
    <w:rsid w:val="00C67420"/>
    <w:rsid w:val="00C679BA"/>
    <w:rsid w:val="00C70551"/>
    <w:rsid w:val="00C71CB1"/>
    <w:rsid w:val="00C7296E"/>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3C4"/>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0AF6"/>
    <w:rsid w:val="00CD121B"/>
    <w:rsid w:val="00CD1DD3"/>
    <w:rsid w:val="00CD264D"/>
    <w:rsid w:val="00CD305F"/>
    <w:rsid w:val="00CD309B"/>
    <w:rsid w:val="00CD3122"/>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806"/>
    <w:rsid w:val="00CE3257"/>
    <w:rsid w:val="00CE3684"/>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FB7"/>
    <w:rsid w:val="00D11683"/>
    <w:rsid w:val="00D11873"/>
    <w:rsid w:val="00D12BDB"/>
    <w:rsid w:val="00D13880"/>
    <w:rsid w:val="00D14204"/>
    <w:rsid w:val="00D14F37"/>
    <w:rsid w:val="00D1624D"/>
    <w:rsid w:val="00D164BF"/>
    <w:rsid w:val="00D16A3F"/>
    <w:rsid w:val="00D17550"/>
    <w:rsid w:val="00D20083"/>
    <w:rsid w:val="00D20E2C"/>
    <w:rsid w:val="00D217CE"/>
    <w:rsid w:val="00D22050"/>
    <w:rsid w:val="00D22D38"/>
    <w:rsid w:val="00D22EE4"/>
    <w:rsid w:val="00D231AF"/>
    <w:rsid w:val="00D23556"/>
    <w:rsid w:val="00D24DBB"/>
    <w:rsid w:val="00D25B79"/>
    <w:rsid w:val="00D27327"/>
    <w:rsid w:val="00D27695"/>
    <w:rsid w:val="00D30320"/>
    <w:rsid w:val="00D30756"/>
    <w:rsid w:val="00D31502"/>
    <w:rsid w:val="00D31AF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22E4"/>
    <w:rsid w:val="00D423C9"/>
    <w:rsid w:val="00D429B7"/>
    <w:rsid w:val="00D44A5C"/>
    <w:rsid w:val="00D44B18"/>
    <w:rsid w:val="00D45E78"/>
    <w:rsid w:val="00D46E80"/>
    <w:rsid w:val="00D46F2D"/>
    <w:rsid w:val="00D473D5"/>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97E7D"/>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A7F4E"/>
    <w:rsid w:val="00DB0564"/>
    <w:rsid w:val="00DB1539"/>
    <w:rsid w:val="00DB2014"/>
    <w:rsid w:val="00DB220E"/>
    <w:rsid w:val="00DB2369"/>
    <w:rsid w:val="00DB2559"/>
    <w:rsid w:val="00DB272C"/>
    <w:rsid w:val="00DB35C7"/>
    <w:rsid w:val="00DB378F"/>
    <w:rsid w:val="00DB39DE"/>
    <w:rsid w:val="00DB405C"/>
    <w:rsid w:val="00DB4322"/>
    <w:rsid w:val="00DB4699"/>
    <w:rsid w:val="00DB4FF9"/>
    <w:rsid w:val="00DB518A"/>
    <w:rsid w:val="00DB533A"/>
    <w:rsid w:val="00DB5C4A"/>
    <w:rsid w:val="00DB5EE5"/>
    <w:rsid w:val="00DB67D0"/>
    <w:rsid w:val="00DB68AB"/>
    <w:rsid w:val="00DB6DF3"/>
    <w:rsid w:val="00DB7507"/>
    <w:rsid w:val="00DB7E8C"/>
    <w:rsid w:val="00DC0BF8"/>
    <w:rsid w:val="00DC0F93"/>
    <w:rsid w:val="00DC1763"/>
    <w:rsid w:val="00DC17C6"/>
    <w:rsid w:val="00DC28A6"/>
    <w:rsid w:val="00DC3BC7"/>
    <w:rsid w:val="00DC4A29"/>
    <w:rsid w:val="00DC4B4C"/>
    <w:rsid w:val="00DC4E8D"/>
    <w:rsid w:val="00DC60E1"/>
    <w:rsid w:val="00DC6A94"/>
    <w:rsid w:val="00DC76BA"/>
    <w:rsid w:val="00DD1521"/>
    <w:rsid w:val="00DD1C2F"/>
    <w:rsid w:val="00DD1ED7"/>
    <w:rsid w:val="00DD22DD"/>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F02E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1D9A"/>
    <w:rsid w:val="00E028E6"/>
    <w:rsid w:val="00E02DBD"/>
    <w:rsid w:val="00E03941"/>
    <w:rsid w:val="00E046C1"/>
    <w:rsid w:val="00E049FD"/>
    <w:rsid w:val="00E04B41"/>
    <w:rsid w:val="00E05375"/>
    <w:rsid w:val="00E054B7"/>
    <w:rsid w:val="00E05A22"/>
    <w:rsid w:val="00E05AC5"/>
    <w:rsid w:val="00E06AF4"/>
    <w:rsid w:val="00E0731E"/>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306"/>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4E9"/>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61C0"/>
    <w:rsid w:val="00E574D5"/>
    <w:rsid w:val="00E57FA4"/>
    <w:rsid w:val="00E60ADA"/>
    <w:rsid w:val="00E61C29"/>
    <w:rsid w:val="00E624D8"/>
    <w:rsid w:val="00E63DB3"/>
    <w:rsid w:val="00E63F2E"/>
    <w:rsid w:val="00E645DC"/>
    <w:rsid w:val="00E65967"/>
    <w:rsid w:val="00E65EF0"/>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5F5"/>
    <w:rsid w:val="00E82560"/>
    <w:rsid w:val="00E825E3"/>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C76"/>
    <w:rsid w:val="00E9572A"/>
    <w:rsid w:val="00E958C1"/>
    <w:rsid w:val="00E95FC5"/>
    <w:rsid w:val="00E960CF"/>
    <w:rsid w:val="00E9627E"/>
    <w:rsid w:val="00E965F5"/>
    <w:rsid w:val="00E96C2A"/>
    <w:rsid w:val="00E96FBC"/>
    <w:rsid w:val="00E9738B"/>
    <w:rsid w:val="00E97732"/>
    <w:rsid w:val="00E97A1F"/>
    <w:rsid w:val="00EA0281"/>
    <w:rsid w:val="00EA0BD3"/>
    <w:rsid w:val="00EA0BFA"/>
    <w:rsid w:val="00EA0CA7"/>
    <w:rsid w:val="00EA0E05"/>
    <w:rsid w:val="00EA0EFC"/>
    <w:rsid w:val="00EA12D3"/>
    <w:rsid w:val="00EA2730"/>
    <w:rsid w:val="00EA42BA"/>
    <w:rsid w:val="00EA4F96"/>
    <w:rsid w:val="00EA531A"/>
    <w:rsid w:val="00EA589B"/>
    <w:rsid w:val="00EA7499"/>
    <w:rsid w:val="00EA74E3"/>
    <w:rsid w:val="00EA7744"/>
    <w:rsid w:val="00EB10CE"/>
    <w:rsid w:val="00EB178A"/>
    <w:rsid w:val="00EB2435"/>
    <w:rsid w:val="00EB3027"/>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534"/>
    <w:rsid w:val="00ED3B7D"/>
    <w:rsid w:val="00ED6140"/>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BA0"/>
    <w:rsid w:val="00F05EED"/>
    <w:rsid w:val="00F062B0"/>
    <w:rsid w:val="00F06F02"/>
    <w:rsid w:val="00F077C0"/>
    <w:rsid w:val="00F0783A"/>
    <w:rsid w:val="00F07C4E"/>
    <w:rsid w:val="00F11FC9"/>
    <w:rsid w:val="00F122A6"/>
    <w:rsid w:val="00F14351"/>
    <w:rsid w:val="00F15744"/>
    <w:rsid w:val="00F15A4F"/>
    <w:rsid w:val="00F165FE"/>
    <w:rsid w:val="00F16BB1"/>
    <w:rsid w:val="00F20046"/>
    <w:rsid w:val="00F206FE"/>
    <w:rsid w:val="00F209E0"/>
    <w:rsid w:val="00F20EE3"/>
    <w:rsid w:val="00F21048"/>
    <w:rsid w:val="00F2112D"/>
    <w:rsid w:val="00F21654"/>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1ABC"/>
    <w:rsid w:val="00F523A6"/>
    <w:rsid w:val="00F52631"/>
    <w:rsid w:val="00F52A4B"/>
    <w:rsid w:val="00F533DB"/>
    <w:rsid w:val="00F5376A"/>
    <w:rsid w:val="00F53E2D"/>
    <w:rsid w:val="00F542D8"/>
    <w:rsid w:val="00F548C8"/>
    <w:rsid w:val="00F54986"/>
    <w:rsid w:val="00F555E8"/>
    <w:rsid w:val="00F55A3B"/>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3AF"/>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87A8C"/>
    <w:rsid w:val="00F90391"/>
    <w:rsid w:val="00F9046C"/>
    <w:rsid w:val="00F90C86"/>
    <w:rsid w:val="00F90E2A"/>
    <w:rsid w:val="00F915AB"/>
    <w:rsid w:val="00F918AE"/>
    <w:rsid w:val="00F91DAC"/>
    <w:rsid w:val="00F92174"/>
    <w:rsid w:val="00F94683"/>
    <w:rsid w:val="00F9495D"/>
    <w:rsid w:val="00F94C7E"/>
    <w:rsid w:val="00F95013"/>
    <w:rsid w:val="00F9529E"/>
    <w:rsid w:val="00F95663"/>
    <w:rsid w:val="00F9597B"/>
    <w:rsid w:val="00F95A7C"/>
    <w:rsid w:val="00F9632D"/>
    <w:rsid w:val="00F9650D"/>
    <w:rsid w:val="00F967D4"/>
    <w:rsid w:val="00F97645"/>
    <w:rsid w:val="00F976DD"/>
    <w:rsid w:val="00F9794E"/>
    <w:rsid w:val="00F97B15"/>
    <w:rsid w:val="00FA0509"/>
    <w:rsid w:val="00FA0E7C"/>
    <w:rsid w:val="00FA1B5B"/>
    <w:rsid w:val="00FA1D8F"/>
    <w:rsid w:val="00FA1E61"/>
    <w:rsid w:val="00FA2FA0"/>
    <w:rsid w:val="00FA53C1"/>
    <w:rsid w:val="00FA5871"/>
    <w:rsid w:val="00FA6225"/>
    <w:rsid w:val="00FA6686"/>
    <w:rsid w:val="00FA6BCC"/>
    <w:rsid w:val="00FA79A3"/>
    <w:rsid w:val="00FA7AA6"/>
    <w:rsid w:val="00FA7B16"/>
    <w:rsid w:val="00FA7C04"/>
    <w:rsid w:val="00FA7EDF"/>
    <w:rsid w:val="00FB035D"/>
    <w:rsid w:val="00FB0443"/>
    <w:rsid w:val="00FB0893"/>
    <w:rsid w:val="00FB16B3"/>
    <w:rsid w:val="00FB18E8"/>
    <w:rsid w:val="00FB1CBB"/>
    <w:rsid w:val="00FB1E18"/>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CC0"/>
    <w:rsid w:val="00FD5AFC"/>
    <w:rsid w:val="00FD6A3D"/>
    <w:rsid w:val="00FD6BB9"/>
    <w:rsid w:val="00FD6F42"/>
    <w:rsid w:val="00FD7313"/>
    <w:rsid w:val="00FE098B"/>
    <w:rsid w:val="00FE0C6B"/>
    <w:rsid w:val="00FE17A0"/>
    <w:rsid w:val="00FE22FE"/>
    <w:rsid w:val="00FE23E2"/>
    <w:rsid w:val="00FE3DA5"/>
    <w:rsid w:val="00FE460F"/>
    <w:rsid w:val="00FE4930"/>
    <w:rsid w:val="00FE4E61"/>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82797C"/>
  <w15:chartTrackingRefBased/>
  <w15:docId w15:val="{F2DE155E-CF04-499A-AC0E-61796DA52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paragraph" w:customStyle="1" w:styleId="References">
    <w:name w:val="References"/>
    <w:basedOn w:val="Normal"/>
    <w:rsid w:val="006E10F6"/>
    <w:pPr>
      <w:numPr>
        <w:numId w:val="14"/>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table" w:styleId="TableProfessional">
    <w:name w:val="Table Professional"/>
    <w:basedOn w:val="TableNormal"/>
    <w:rsid w:val="00E561C0"/>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Emphasis">
    <w:name w:val="Emphasis"/>
    <w:qFormat/>
    <w:rsid w:val="00F51ABC"/>
    <w:rPr>
      <w:i/>
      <w:iCs/>
    </w:rPr>
  </w:style>
  <w:style w:type="character" w:styleId="Strong">
    <w:name w:val="Strong"/>
    <w:qFormat/>
    <w:rsid w:val="006B24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46116879">
      <w:bodyDiv w:val="1"/>
      <w:marLeft w:val="0"/>
      <w:marRight w:val="0"/>
      <w:marTop w:val="0"/>
      <w:marBottom w:val="0"/>
      <w:divBdr>
        <w:top w:val="none" w:sz="0" w:space="0" w:color="auto"/>
        <w:left w:val="none" w:sz="0" w:space="0" w:color="auto"/>
        <w:bottom w:val="none" w:sz="0" w:space="0" w:color="auto"/>
        <w:right w:val="none" w:sz="0" w:space="0" w:color="auto"/>
      </w:divBdr>
    </w:div>
    <w:div w:id="43964785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42862598">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4935164">
      <w:bodyDiv w:val="1"/>
      <w:marLeft w:val="0"/>
      <w:marRight w:val="0"/>
      <w:marTop w:val="0"/>
      <w:marBottom w:val="0"/>
      <w:divBdr>
        <w:top w:val="none" w:sz="0" w:space="0" w:color="auto"/>
        <w:left w:val="none" w:sz="0" w:space="0" w:color="auto"/>
        <w:bottom w:val="none" w:sz="0" w:space="0" w:color="auto"/>
        <w:right w:val="none" w:sz="0" w:space="0" w:color="auto"/>
      </w:divBdr>
      <w:divsChild>
        <w:div w:id="263850426">
          <w:marLeft w:val="1166"/>
          <w:marRight w:val="0"/>
          <w:marTop w:val="86"/>
          <w:marBottom w:val="0"/>
          <w:divBdr>
            <w:top w:val="none" w:sz="0" w:space="0" w:color="auto"/>
            <w:left w:val="none" w:sz="0" w:space="0" w:color="auto"/>
            <w:bottom w:val="none" w:sz="0" w:space="0" w:color="auto"/>
            <w:right w:val="none" w:sz="0" w:space="0" w:color="auto"/>
          </w:divBdr>
        </w:div>
        <w:div w:id="355624564">
          <w:marLeft w:val="1166"/>
          <w:marRight w:val="0"/>
          <w:marTop w:val="86"/>
          <w:marBottom w:val="0"/>
          <w:divBdr>
            <w:top w:val="none" w:sz="0" w:space="0" w:color="auto"/>
            <w:left w:val="none" w:sz="0" w:space="0" w:color="auto"/>
            <w:bottom w:val="none" w:sz="0" w:space="0" w:color="auto"/>
            <w:right w:val="none" w:sz="0" w:space="0" w:color="auto"/>
          </w:divBdr>
        </w:div>
        <w:div w:id="1613438849">
          <w:marLeft w:val="1166"/>
          <w:marRight w:val="0"/>
          <w:marTop w:val="86"/>
          <w:marBottom w:val="0"/>
          <w:divBdr>
            <w:top w:val="none" w:sz="0" w:space="0" w:color="auto"/>
            <w:left w:val="none" w:sz="0" w:space="0" w:color="auto"/>
            <w:bottom w:val="none" w:sz="0" w:space="0" w:color="auto"/>
            <w:right w:val="none" w:sz="0" w:space="0" w:color="auto"/>
          </w:divBdr>
        </w:div>
        <w:div w:id="1993870411">
          <w:marLeft w:val="1166"/>
          <w:marRight w:val="0"/>
          <w:marTop w:val="86"/>
          <w:marBottom w:val="0"/>
          <w:divBdr>
            <w:top w:val="none" w:sz="0" w:space="0" w:color="auto"/>
            <w:left w:val="none" w:sz="0" w:space="0" w:color="auto"/>
            <w:bottom w:val="none" w:sz="0" w:space="0" w:color="auto"/>
            <w:right w:val="none" w:sz="0" w:space="0" w:color="auto"/>
          </w:divBdr>
        </w:div>
        <w:div w:id="2047758339">
          <w:marLeft w:val="547"/>
          <w:marRight w:val="0"/>
          <w:marTop w:val="96"/>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14240344">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4532">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55516712">
      <w:bodyDiv w:val="1"/>
      <w:marLeft w:val="0"/>
      <w:marRight w:val="0"/>
      <w:marTop w:val="0"/>
      <w:marBottom w:val="0"/>
      <w:divBdr>
        <w:top w:val="none" w:sz="0" w:space="0" w:color="auto"/>
        <w:left w:val="none" w:sz="0" w:space="0" w:color="auto"/>
        <w:bottom w:val="none" w:sz="0" w:space="0" w:color="auto"/>
        <w:right w:val="none" w:sz="0" w:space="0" w:color="auto"/>
      </w:divBdr>
      <w:divsChild>
        <w:div w:id="1790856733">
          <w:marLeft w:val="1166"/>
          <w:marRight w:val="0"/>
          <w:marTop w:val="77"/>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434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jpe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7.jpe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jpe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6.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0.jpeg"/><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9.jpeg"/><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jpe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Excel_Worksheet1.xlsx"/><Relationship Id="rId22" Type="http://schemas.openxmlformats.org/officeDocument/2006/relationships/image" Target="media/image8.jpeg"/><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HR33RHYHUWRF-13-110841</_dlc_DocId>
    <_dlc_DocIdUrl xmlns="c06861ca-3f08-4d07-bff7-bb15bac121f4">
      <Url>https://projects.qualcomm.com/sites/pentari/_layouts/15/DocIdRedir.aspx?ID=HR33RHYHUWRF-13-110841</Url>
      <Description>HR33RHYHUWRF-13-110841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5CCA8-E088-4D08-8FC1-54E3CCEB1263}">
  <ds:schemaRefs>
    <ds:schemaRef ds:uri="http://schemas.microsoft.com/sharepoint/v3/contenttype/forms"/>
  </ds:schemaRefs>
</ds:datastoreItem>
</file>

<file path=customXml/itemProps2.xml><?xml version="1.0" encoding="utf-8"?>
<ds:datastoreItem xmlns:ds="http://schemas.openxmlformats.org/officeDocument/2006/customXml" ds:itemID="{47DB5777-5D7A-4BA5-81EE-E795B2ACA0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21561B-08C4-4F80-BDBA-6D4269712B70}">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BBEE3EF3-49CB-4D57-A446-E64886B2505D}">
  <ds:schemaRefs>
    <ds:schemaRef ds:uri="http://schemas.microsoft.com/sharepoint/events"/>
  </ds:schemaRefs>
</ds:datastoreItem>
</file>

<file path=customXml/itemProps5.xml><?xml version="1.0" encoding="utf-8"?>
<ds:datastoreItem xmlns:ds="http://schemas.openxmlformats.org/officeDocument/2006/customXml" ds:itemID="{499AAEC3-618F-4CE7-9373-650C0EF0ED43}">
  <ds:schemaRefs>
    <ds:schemaRef ds:uri="http://schemas.microsoft.com/office/2006/metadata/longProperties"/>
  </ds:schemaRefs>
</ds:datastoreItem>
</file>

<file path=customXml/itemProps6.xml><?xml version="1.0" encoding="utf-8"?>
<ds:datastoreItem xmlns:ds="http://schemas.openxmlformats.org/officeDocument/2006/customXml" ds:itemID="{80507324-2212-487F-A575-1D9EE9AB1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9</Pages>
  <Words>1200</Words>
  <Characters>6843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8027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Sun, Haitong</cp:lastModifiedBy>
  <cp:revision>30</cp:revision>
  <cp:lastPrinted>2010-10-04T23:31:00Z</cp:lastPrinted>
  <dcterms:created xsi:type="dcterms:W3CDTF">2016-07-15T22:51:00Z</dcterms:created>
  <dcterms:modified xsi:type="dcterms:W3CDTF">2016-08-11T04:28:00Z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-359525663</vt:i4>
  </property>
  <property fmtid="{D5CDD505-2E9C-101B-9397-08002B2CF9AE}" pid="3" name="_NewReviewCycle">
    <vt:lpwstr/>
  </property>
  <property fmtid="{D5CDD505-2E9C-101B-9397-08002B2CF9AE}" pid="4" name="_EmailSubject">
    <vt:lpwstr>DL mIMO paper</vt:lpwstr>
  </property>
  <property fmtid="{D5CDD505-2E9C-101B-9397-08002B2CF9AE}" pid="5" name="_AuthorEmail">
    <vt:lpwstr>tji@qti.qualcomm.com</vt:lpwstr>
  </property>
  <property fmtid="{D5CDD505-2E9C-101B-9397-08002B2CF9AE}" pid="6" name="_AuthorEmailDisplayName">
    <vt:lpwstr>Ji, Tingfang</vt:lpwstr>
  </property>
  <property fmtid="{D5CDD505-2E9C-101B-9397-08002B2CF9AE}" pid="7" name="_PreviousAdHocReviewCycleID">
    <vt:i4>-1159678508</vt:i4>
  </property>
  <property fmtid="{D5CDD505-2E9C-101B-9397-08002B2CF9AE}" pid="8" name="_dlc_DocId">
    <vt:lpwstr>HR33RHYHUWRF-13-110422</vt:lpwstr>
  </property>
  <property fmtid="{D5CDD505-2E9C-101B-9397-08002B2CF9AE}" pid="9" name="_dlc_DocIdItemGuid">
    <vt:lpwstr>388efa9b-6241-4308-a7a5-9b8ab485f3a5</vt:lpwstr>
  </property>
  <property fmtid="{D5CDD505-2E9C-101B-9397-08002B2CF9AE}" pid="10" name="_dlc_DocIdUrl">
    <vt:lpwstr>https://projects.qualcomm.com/sites/pentari/_layouts/15/DocIdRedir.aspx?ID=HR33RHYHUWRF-13-110422, HR33RHYHUWRF-13-110422</vt:lpwstr>
  </property>
  <property fmtid="{D5CDD505-2E9C-101B-9397-08002B2CF9AE}" pid="11" name="_ReviewingToolsShownOnce">
    <vt:lpwstr/>
  </property>
  <property fmtid="{D5CDD505-2E9C-101B-9397-08002B2CF9AE}" pid="12" name="ContentTypeId">
    <vt:lpwstr>0x010100E148108D9109C944B70D5C8707C65226</vt:lpwstr>
  </property>
</Properties>
</file>